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43" w:rsidRPr="009B2443" w:rsidRDefault="001A5CDA" w:rsidP="0030692B">
      <w:pPr>
        <w:spacing w:after="120" w:line="240" w:lineRule="auto"/>
        <w:rPr>
          <w:rFonts w:ascii="Arial" w:hAnsi="Arial" w:cs="Arial"/>
          <w:b/>
          <w:sz w:val="32"/>
          <w:szCs w:val="32"/>
        </w:rPr>
      </w:pPr>
      <w:r w:rsidRPr="007A03DE">
        <w:rPr>
          <w:rFonts w:ascii="Arial" w:hAnsi="Arial" w:cs="Arial"/>
          <w:b/>
          <w:noProof/>
          <w:sz w:val="28"/>
          <w:szCs w:val="28"/>
          <w:lang w:eastAsia="en-GB"/>
        </w:rPr>
        <w:drawing>
          <wp:anchor distT="0" distB="0" distL="114300" distR="114300" simplePos="0" relativeHeight="251649024" behindDoc="0" locked="0" layoutInCell="1" allowOverlap="1" wp14:anchorId="1D16DB7D" wp14:editId="10EF1917">
            <wp:simplePos x="0" y="0"/>
            <wp:positionH relativeFrom="column">
              <wp:posOffset>-925830</wp:posOffset>
            </wp:positionH>
            <wp:positionV relativeFrom="paragraph">
              <wp:posOffset>-621030</wp:posOffset>
            </wp:positionV>
            <wp:extent cx="7570470" cy="567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817" cy="567716"/>
                    </a:xfrm>
                    <a:prstGeom prst="rect">
                      <a:avLst/>
                    </a:prstGeom>
                  </pic:spPr>
                </pic:pic>
              </a:graphicData>
            </a:graphic>
            <wp14:sizeRelH relativeFrom="page">
              <wp14:pctWidth>0</wp14:pctWidth>
            </wp14:sizeRelH>
            <wp14:sizeRelV relativeFrom="page">
              <wp14:pctHeight>0</wp14:pctHeight>
            </wp14:sizeRelV>
          </wp:anchor>
        </w:drawing>
      </w:r>
      <w:r w:rsidR="009B2443" w:rsidRPr="009B2443">
        <w:rPr>
          <w:rFonts w:ascii="Arial" w:hAnsi="Arial" w:cs="Arial"/>
          <w:b/>
          <w:sz w:val="32"/>
          <w:szCs w:val="32"/>
        </w:rPr>
        <w:t>CARDIFF CAPITAL REGION CABINET</w:t>
      </w:r>
    </w:p>
    <w:p w:rsidR="009B2443" w:rsidRPr="00DB4DD8" w:rsidRDefault="009B2443" w:rsidP="009B2443">
      <w:pPr>
        <w:spacing w:after="0" w:line="240" w:lineRule="auto"/>
        <w:ind w:right="-1"/>
        <w:rPr>
          <w:b/>
          <w:sz w:val="32"/>
          <w:szCs w:val="32"/>
        </w:rPr>
      </w:pPr>
      <w:r w:rsidRPr="00DB4DD8">
        <w:rPr>
          <w:rFonts w:ascii="Arial" w:hAnsi="Arial" w:cs="Arial"/>
          <w:b/>
          <w:sz w:val="32"/>
          <w:szCs w:val="32"/>
        </w:rPr>
        <w:t>CABINET MEETING 1</w:t>
      </w:r>
      <w:r w:rsidR="00756FA9" w:rsidRPr="00DB4DD8">
        <w:rPr>
          <w:rFonts w:ascii="Arial" w:hAnsi="Arial" w:cs="Arial"/>
          <w:b/>
          <w:sz w:val="32"/>
          <w:szCs w:val="32"/>
        </w:rPr>
        <w:t>7</w:t>
      </w:r>
      <w:r w:rsidRPr="00DB4DD8">
        <w:rPr>
          <w:rFonts w:ascii="Arial" w:hAnsi="Arial" w:cs="Arial"/>
          <w:b/>
          <w:sz w:val="32"/>
          <w:szCs w:val="32"/>
        </w:rPr>
        <w:t xml:space="preserve"> MARCH 2017</w:t>
      </w:r>
    </w:p>
    <w:p w:rsidR="009B2443" w:rsidRDefault="009B2443" w:rsidP="009B2443">
      <w:pPr>
        <w:pBdr>
          <w:bottom w:val="single" w:sz="4" w:space="1" w:color="auto"/>
        </w:pBdr>
        <w:spacing w:after="0" w:line="240" w:lineRule="auto"/>
        <w:rPr>
          <w:b/>
          <w:sz w:val="28"/>
        </w:rPr>
      </w:pPr>
      <w:bookmarkStart w:id="0" w:name="_GoBack"/>
      <w:bookmarkEnd w:id="0"/>
    </w:p>
    <w:p w:rsidR="009B2443" w:rsidRPr="00753C9F" w:rsidRDefault="009B2443" w:rsidP="009B2443">
      <w:pPr>
        <w:spacing w:after="0" w:line="240" w:lineRule="auto"/>
        <w:jc w:val="both"/>
        <w:rPr>
          <w:rFonts w:cs="Arial"/>
          <w:b/>
          <w:color w:val="000000" w:themeColor="text1"/>
          <w:sz w:val="28"/>
          <w:szCs w:val="28"/>
        </w:rPr>
      </w:pPr>
    </w:p>
    <w:p w:rsidR="008E2CFD" w:rsidRDefault="008E2CFD" w:rsidP="009B2443">
      <w:pPr>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CARDIFF CAPITAL REGION PROGRAMME BOARD –</w:t>
      </w:r>
    </w:p>
    <w:p w:rsidR="009B2443" w:rsidRPr="009B2443" w:rsidRDefault="008E2CFD" w:rsidP="009B2443">
      <w:pPr>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TERMS OF REFERENCE</w:t>
      </w:r>
    </w:p>
    <w:p w:rsidR="009B2443" w:rsidRPr="009B2443" w:rsidRDefault="009B2443" w:rsidP="009B2443">
      <w:pPr>
        <w:spacing w:after="0" w:line="240" w:lineRule="auto"/>
        <w:rPr>
          <w:rFonts w:ascii="Arial" w:hAnsi="Arial" w:cs="Arial"/>
          <w:b/>
          <w:color w:val="000000" w:themeColor="text1"/>
          <w:sz w:val="28"/>
          <w:szCs w:val="28"/>
        </w:rPr>
      </w:pPr>
    </w:p>
    <w:p w:rsidR="009B2443" w:rsidRPr="009B2443" w:rsidRDefault="009B2443" w:rsidP="009B2443">
      <w:pPr>
        <w:spacing w:after="0" w:line="240" w:lineRule="auto"/>
        <w:jc w:val="both"/>
        <w:rPr>
          <w:rFonts w:ascii="Arial" w:hAnsi="Arial" w:cs="Arial"/>
          <w:b/>
          <w:color w:val="000000" w:themeColor="text1"/>
          <w:sz w:val="28"/>
          <w:szCs w:val="28"/>
        </w:rPr>
      </w:pPr>
      <w:r w:rsidRPr="009B2443">
        <w:rPr>
          <w:rFonts w:ascii="Arial" w:hAnsi="Arial" w:cs="Arial"/>
          <w:b/>
          <w:color w:val="000000" w:themeColor="text1"/>
          <w:sz w:val="28"/>
          <w:szCs w:val="28"/>
        </w:rPr>
        <w:t>REPORT OF C</w:t>
      </w:r>
      <w:r w:rsidR="007A59BB">
        <w:rPr>
          <w:rFonts w:ascii="Arial" w:hAnsi="Arial" w:cs="Arial"/>
          <w:b/>
          <w:color w:val="000000" w:themeColor="text1"/>
          <w:sz w:val="28"/>
          <w:szCs w:val="28"/>
        </w:rPr>
        <w:t>ARDIFF CAPITAL REGION PROGRAMME DIRECTOR</w:t>
      </w:r>
      <w:r w:rsidRPr="009B2443">
        <w:rPr>
          <w:rFonts w:ascii="Arial" w:hAnsi="Arial" w:cs="Arial"/>
          <w:b/>
          <w:sz w:val="28"/>
          <w:szCs w:val="28"/>
          <w:highlight w:val="magenta"/>
        </w:rPr>
        <w:t xml:space="preserve"> </w:t>
      </w:r>
    </w:p>
    <w:p w:rsidR="009B2443" w:rsidRPr="009B2443" w:rsidRDefault="009B2443" w:rsidP="009B2443">
      <w:pPr>
        <w:spacing w:after="0" w:line="240" w:lineRule="auto"/>
        <w:rPr>
          <w:rFonts w:ascii="Arial" w:hAnsi="Arial" w:cs="Arial"/>
          <w:b/>
          <w:color w:val="000000" w:themeColor="text1"/>
          <w:sz w:val="28"/>
          <w:szCs w:val="28"/>
        </w:rPr>
      </w:pPr>
    </w:p>
    <w:p w:rsidR="009B2443" w:rsidRPr="009B2443" w:rsidRDefault="009B2443" w:rsidP="00DB4DD8">
      <w:pPr>
        <w:spacing w:after="0" w:line="240" w:lineRule="auto"/>
        <w:jc w:val="right"/>
        <w:rPr>
          <w:rFonts w:ascii="Arial" w:hAnsi="Arial" w:cs="Arial"/>
          <w:b/>
          <w:color w:val="000000" w:themeColor="text1"/>
          <w:sz w:val="28"/>
          <w:szCs w:val="28"/>
        </w:rPr>
      </w:pPr>
      <w:r w:rsidRPr="009B2443">
        <w:rPr>
          <w:rFonts w:ascii="Arial" w:hAnsi="Arial" w:cs="Arial"/>
          <w:b/>
          <w:color w:val="000000" w:themeColor="text1"/>
          <w:sz w:val="28"/>
          <w:szCs w:val="28"/>
        </w:rPr>
        <w:t xml:space="preserve">AGENDA ITEM: </w:t>
      </w:r>
      <w:r w:rsidR="007561D2">
        <w:rPr>
          <w:rFonts w:ascii="Arial" w:hAnsi="Arial" w:cs="Arial"/>
          <w:b/>
          <w:color w:val="000000" w:themeColor="text1"/>
          <w:sz w:val="28"/>
          <w:szCs w:val="28"/>
        </w:rPr>
        <w:t>6</w:t>
      </w:r>
    </w:p>
    <w:p w:rsidR="009B2443" w:rsidRPr="00753C9F" w:rsidRDefault="009B2443" w:rsidP="009B2443">
      <w:pPr>
        <w:pBdr>
          <w:bottom w:val="single" w:sz="4" w:space="0" w:color="auto"/>
        </w:pBdr>
        <w:spacing w:after="0" w:line="240" w:lineRule="auto"/>
        <w:rPr>
          <w:b/>
          <w:sz w:val="28"/>
          <w:szCs w:val="28"/>
        </w:rPr>
      </w:pPr>
    </w:p>
    <w:p w:rsidR="009B2443" w:rsidRDefault="009B2443" w:rsidP="009B2443">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DB3D6F" w:rsidTr="00835145">
        <w:tc>
          <w:tcPr>
            <w:tcW w:w="9242" w:type="dxa"/>
            <w:gridSpan w:val="2"/>
          </w:tcPr>
          <w:p w:rsidR="00DB3D6F" w:rsidRDefault="00DB3D6F" w:rsidP="00DB3D6F">
            <w:pPr>
              <w:autoSpaceDE w:val="0"/>
              <w:autoSpaceDN w:val="0"/>
              <w:adjustRightInd w:val="0"/>
              <w:spacing w:after="200"/>
              <w:jc w:val="both"/>
              <w:rPr>
                <w:rFonts w:ascii="Arial" w:hAnsi="Arial" w:cs="Arial"/>
                <w:bCs/>
                <w:sz w:val="24"/>
                <w:szCs w:val="24"/>
              </w:rPr>
            </w:pPr>
            <w:r w:rsidRPr="009B2443">
              <w:rPr>
                <w:rFonts w:ascii="Arial" w:hAnsi="Arial" w:cs="Arial"/>
                <w:b/>
                <w:bCs/>
                <w:sz w:val="24"/>
                <w:szCs w:val="24"/>
              </w:rPr>
              <w:t>Reason for this Report</w:t>
            </w:r>
          </w:p>
        </w:tc>
      </w:tr>
      <w:tr w:rsidR="00AC3D9D" w:rsidTr="00DB3D6F">
        <w:tc>
          <w:tcPr>
            <w:tcW w:w="675" w:type="dxa"/>
          </w:tcPr>
          <w:p w:rsidR="00AC3D9D" w:rsidRPr="00AC3D9D" w:rsidRDefault="00AC3D9D" w:rsidP="00DB3D6F">
            <w:pPr>
              <w:autoSpaceDE w:val="0"/>
              <w:autoSpaceDN w:val="0"/>
              <w:adjustRightInd w:val="0"/>
              <w:spacing w:after="200"/>
              <w:rPr>
                <w:rFonts w:ascii="Arial" w:hAnsi="Arial" w:cs="Arial"/>
                <w:bCs/>
                <w:sz w:val="24"/>
                <w:szCs w:val="24"/>
              </w:rPr>
            </w:pPr>
            <w:r w:rsidRPr="00AC3D9D">
              <w:rPr>
                <w:rFonts w:ascii="Arial" w:hAnsi="Arial" w:cs="Arial"/>
                <w:bCs/>
                <w:sz w:val="24"/>
                <w:szCs w:val="24"/>
              </w:rPr>
              <w:t>1.</w:t>
            </w:r>
          </w:p>
        </w:tc>
        <w:tc>
          <w:tcPr>
            <w:tcW w:w="8567" w:type="dxa"/>
          </w:tcPr>
          <w:p w:rsidR="00AC3D9D" w:rsidRPr="00AC3D9D" w:rsidRDefault="00AC3D9D" w:rsidP="00DB3D6F">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To provide the Cardiff Capital Region Cabinet with details of the </w:t>
            </w:r>
            <w:r w:rsidR="009E11FF">
              <w:rPr>
                <w:rFonts w:ascii="Arial" w:hAnsi="Arial" w:cs="Arial"/>
                <w:bCs/>
                <w:sz w:val="24"/>
                <w:szCs w:val="24"/>
              </w:rPr>
              <w:t>purpose and functions of the Cardiff Capital Region Programme Board</w:t>
            </w:r>
            <w:r w:rsidR="000904FE">
              <w:rPr>
                <w:rFonts w:ascii="Arial" w:hAnsi="Arial" w:cs="Arial"/>
                <w:bCs/>
                <w:sz w:val="24"/>
                <w:szCs w:val="24"/>
              </w:rPr>
              <w:t xml:space="preserve"> to be undertaken</w:t>
            </w:r>
            <w:r w:rsidR="009E11FF">
              <w:rPr>
                <w:rFonts w:ascii="Arial" w:hAnsi="Arial" w:cs="Arial"/>
                <w:bCs/>
                <w:sz w:val="24"/>
                <w:szCs w:val="24"/>
              </w:rPr>
              <w:t xml:space="preserve"> in support of the Regional Cabinet.</w:t>
            </w:r>
          </w:p>
        </w:tc>
      </w:tr>
      <w:tr w:rsidR="00AC3D9D" w:rsidTr="00DB3D6F">
        <w:tc>
          <w:tcPr>
            <w:tcW w:w="675" w:type="dxa"/>
          </w:tcPr>
          <w:p w:rsidR="00AC3D9D" w:rsidRPr="00AC3D9D" w:rsidRDefault="00AC3D9D" w:rsidP="00DB3D6F">
            <w:pPr>
              <w:autoSpaceDE w:val="0"/>
              <w:autoSpaceDN w:val="0"/>
              <w:adjustRightInd w:val="0"/>
              <w:spacing w:after="200"/>
              <w:rPr>
                <w:rFonts w:ascii="Arial" w:hAnsi="Arial" w:cs="Arial"/>
                <w:bCs/>
                <w:sz w:val="24"/>
                <w:szCs w:val="24"/>
              </w:rPr>
            </w:pPr>
            <w:r>
              <w:rPr>
                <w:rFonts w:ascii="Arial" w:hAnsi="Arial" w:cs="Arial"/>
                <w:bCs/>
                <w:sz w:val="24"/>
                <w:szCs w:val="24"/>
              </w:rPr>
              <w:t>2.</w:t>
            </w:r>
          </w:p>
        </w:tc>
        <w:tc>
          <w:tcPr>
            <w:tcW w:w="8567" w:type="dxa"/>
          </w:tcPr>
          <w:p w:rsidR="00AC3D9D" w:rsidRPr="00AC3D9D" w:rsidRDefault="005D57F2" w:rsidP="00DB3D6F">
            <w:pPr>
              <w:autoSpaceDE w:val="0"/>
              <w:autoSpaceDN w:val="0"/>
              <w:adjustRightInd w:val="0"/>
              <w:spacing w:after="200"/>
              <w:rPr>
                <w:rFonts w:ascii="Arial" w:hAnsi="Arial" w:cs="Arial"/>
                <w:bCs/>
                <w:sz w:val="24"/>
                <w:szCs w:val="24"/>
              </w:rPr>
            </w:pPr>
            <w:r>
              <w:rPr>
                <w:rFonts w:ascii="Arial" w:hAnsi="Arial" w:cs="Arial"/>
                <w:bCs/>
                <w:sz w:val="24"/>
                <w:szCs w:val="24"/>
              </w:rPr>
              <w:t xml:space="preserve">To recommend to the Regional Cabinet </w:t>
            </w:r>
            <w:r w:rsidR="009E11FF">
              <w:rPr>
                <w:rFonts w:ascii="Arial" w:hAnsi="Arial" w:cs="Arial"/>
                <w:bCs/>
                <w:sz w:val="24"/>
                <w:szCs w:val="24"/>
              </w:rPr>
              <w:t>the Terms of Reference which should apply to the Cardiff Capital Region Programme Board.</w:t>
            </w:r>
          </w:p>
        </w:tc>
      </w:tr>
      <w:tr w:rsidR="00AC3D9D" w:rsidTr="00DB3D6F">
        <w:tc>
          <w:tcPr>
            <w:tcW w:w="9242" w:type="dxa"/>
            <w:gridSpan w:val="2"/>
          </w:tcPr>
          <w:p w:rsidR="00AC3D9D" w:rsidRPr="00AC3D9D" w:rsidRDefault="00AC3D9D" w:rsidP="00DB3D6F">
            <w:pPr>
              <w:autoSpaceDE w:val="0"/>
              <w:autoSpaceDN w:val="0"/>
              <w:adjustRightInd w:val="0"/>
              <w:spacing w:after="200"/>
              <w:rPr>
                <w:rFonts w:ascii="Arial" w:hAnsi="Arial" w:cs="Arial"/>
                <w:b/>
                <w:bCs/>
                <w:sz w:val="24"/>
                <w:szCs w:val="24"/>
              </w:rPr>
            </w:pPr>
            <w:r w:rsidRPr="00AC3D9D">
              <w:rPr>
                <w:rFonts w:ascii="Arial" w:hAnsi="Arial" w:cs="Arial"/>
                <w:b/>
                <w:bCs/>
                <w:sz w:val="24"/>
                <w:szCs w:val="24"/>
              </w:rPr>
              <w:t>Background</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3</w:t>
            </w:r>
            <w:r w:rsidR="00AC3D9D">
              <w:rPr>
                <w:rFonts w:ascii="Arial" w:hAnsi="Arial" w:cs="Arial"/>
                <w:bCs/>
                <w:sz w:val="24"/>
                <w:szCs w:val="24"/>
              </w:rPr>
              <w:t>.</w:t>
            </w:r>
          </w:p>
        </w:tc>
        <w:tc>
          <w:tcPr>
            <w:tcW w:w="8567" w:type="dxa"/>
          </w:tcPr>
          <w:p w:rsidR="00AC3D9D" w:rsidRPr="00AC3D9D" w:rsidRDefault="0046369B" w:rsidP="00120969">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When establishing the Cardiff Capital Region Cabinet each Council approved the Joint Working Agreement and the </w:t>
            </w:r>
            <w:r w:rsidR="000615EC">
              <w:rPr>
                <w:rFonts w:ascii="Arial" w:hAnsi="Arial" w:cs="Arial"/>
                <w:bCs/>
                <w:sz w:val="24"/>
                <w:szCs w:val="24"/>
              </w:rPr>
              <w:t xml:space="preserve">Wider Investment Fund </w:t>
            </w:r>
            <w:r>
              <w:rPr>
                <w:rFonts w:ascii="Arial" w:hAnsi="Arial" w:cs="Arial"/>
                <w:bCs/>
                <w:sz w:val="24"/>
                <w:szCs w:val="24"/>
              </w:rPr>
              <w:t>Assurance Framework to be used to assess projects and proposals for investment.</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4</w:t>
            </w:r>
            <w:r w:rsidR="00AC3D9D">
              <w:rPr>
                <w:rFonts w:ascii="Arial" w:hAnsi="Arial" w:cs="Arial"/>
                <w:bCs/>
                <w:sz w:val="24"/>
                <w:szCs w:val="24"/>
              </w:rPr>
              <w:t>.</w:t>
            </w:r>
          </w:p>
        </w:tc>
        <w:tc>
          <w:tcPr>
            <w:tcW w:w="8567" w:type="dxa"/>
          </w:tcPr>
          <w:p w:rsidR="0046369B" w:rsidRPr="00AC3D9D" w:rsidRDefault="0046369B" w:rsidP="00737C31">
            <w:pPr>
              <w:autoSpaceDE w:val="0"/>
              <w:autoSpaceDN w:val="0"/>
              <w:adjustRightInd w:val="0"/>
              <w:spacing w:after="200"/>
              <w:jc w:val="both"/>
              <w:rPr>
                <w:rFonts w:ascii="Arial" w:hAnsi="Arial" w:cs="Arial"/>
                <w:bCs/>
                <w:sz w:val="24"/>
                <w:szCs w:val="24"/>
              </w:rPr>
            </w:pPr>
            <w:r>
              <w:rPr>
                <w:rFonts w:ascii="Arial" w:hAnsi="Arial" w:cs="Arial"/>
                <w:bCs/>
                <w:sz w:val="24"/>
                <w:szCs w:val="24"/>
              </w:rPr>
              <w:t>Within the Joint Working Agreement</w:t>
            </w:r>
            <w:r w:rsidR="00737C31">
              <w:rPr>
                <w:rFonts w:ascii="Arial" w:hAnsi="Arial" w:cs="Arial"/>
                <w:bCs/>
                <w:sz w:val="24"/>
                <w:szCs w:val="24"/>
              </w:rPr>
              <w:t>,</w:t>
            </w:r>
            <w:r>
              <w:rPr>
                <w:rFonts w:ascii="Arial" w:hAnsi="Arial" w:cs="Arial"/>
                <w:bCs/>
                <w:sz w:val="24"/>
                <w:szCs w:val="24"/>
              </w:rPr>
              <w:t xml:space="preserve"> </w:t>
            </w:r>
            <w:r w:rsidR="009E11FF">
              <w:rPr>
                <w:rFonts w:ascii="Arial" w:hAnsi="Arial" w:cs="Arial"/>
                <w:bCs/>
                <w:sz w:val="24"/>
                <w:szCs w:val="24"/>
              </w:rPr>
              <w:t>it states that the Programme Board Terms of Reference will be finalised and inserted by agreement of the Councils as a Regional Cabinet (Joint Committee) matter.</w:t>
            </w:r>
          </w:p>
        </w:tc>
      </w:tr>
      <w:tr w:rsidR="00AC3D9D" w:rsidTr="00DB3D6F">
        <w:tc>
          <w:tcPr>
            <w:tcW w:w="675" w:type="dxa"/>
          </w:tcPr>
          <w:p w:rsidR="00AC3D9D" w:rsidRPr="00AC3D9D" w:rsidRDefault="0046369B" w:rsidP="00DB3D6F">
            <w:pPr>
              <w:autoSpaceDE w:val="0"/>
              <w:autoSpaceDN w:val="0"/>
              <w:adjustRightInd w:val="0"/>
              <w:spacing w:after="200"/>
              <w:rPr>
                <w:rFonts w:ascii="Arial" w:hAnsi="Arial" w:cs="Arial"/>
                <w:bCs/>
                <w:sz w:val="24"/>
                <w:szCs w:val="24"/>
              </w:rPr>
            </w:pPr>
            <w:r>
              <w:rPr>
                <w:rFonts w:ascii="Arial" w:hAnsi="Arial" w:cs="Arial"/>
                <w:bCs/>
                <w:sz w:val="24"/>
                <w:szCs w:val="24"/>
              </w:rPr>
              <w:t>5</w:t>
            </w:r>
            <w:r w:rsidR="00DB3D6F">
              <w:rPr>
                <w:rFonts w:ascii="Arial" w:hAnsi="Arial" w:cs="Arial"/>
                <w:bCs/>
                <w:sz w:val="24"/>
                <w:szCs w:val="24"/>
              </w:rPr>
              <w:t>.</w:t>
            </w:r>
          </w:p>
        </w:tc>
        <w:tc>
          <w:tcPr>
            <w:tcW w:w="8567" w:type="dxa"/>
          </w:tcPr>
          <w:p w:rsidR="00737C31" w:rsidRDefault="00C60BCF" w:rsidP="00DB3D6F">
            <w:pPr>
              <w:autoSpaceDE w:val="0"/>
              <w:autoSpaceDN w:val="0"/>
              <w:adjustRightInd w:val="0"/>
              <w:spacing w:after="200"/>
              <w:rPr>
                <w:rFonts w:ascii="Arial" w:hAnsi="Arial" w:cs="Arial"/>
                <w:bCs/>
                <w:sz w:val="24"/>
                <w:szCs w:val="24"/>
              </w:rPr>
            </w:pPr>
            <w:r>
              <w:rPr>
                <w:rFonts w:ascii="Arial" w:hAnsi="Arial" w:cs="Arial"/>
                <w:bCs/>
                <w:sz w:val="24"/>
                <w:szCs w:val="24"/>
              </w:rPr>
              <w:t xml:space="preserve">The Assurance Framework </w:t>
            </w:r>
            <w:r w:rsidR="00737C31">
              <w:rPr>
                <w:rFonts w:ascii="Arial" w:hAnsi="Arial" w:cs="Arial"/>
                <w:bCs/>
                <w:sz w:val="24"/>
                <w:szCs w:val="24"/>
              </w:rPr>
              <w:t>states that related to the Wider Investment Fund the Programme Board will have three distinct roles:</w:t>
            </w:r>
          </w:p>
          <w:p w:rsidR="00737C31" w:rsidRPr="00737C31" w:rsidRDefault="00737C31" w:rsidP="00737C31">
            <w:pPr>
              <w:pStyle w:val="ListParagraph"/>
              <w:numPr>
                <w:ilvl w:val="0"/>
                <w:numId w:val="19"/>
              </w:numPr>
              <w:autoSpaceDE w:val="0"/>
              <w:autoSpaceDN w:val="0"/>
              <w:adjustRightInd w:val="0"/>
              <w:rPr>
                <w:rFonts w:ascii="Arial" w:hAnsi="Arial" w:cs="Arial"/>
                <w:bCs/>
                <w:sz w:val="24"/>
                <w:szCs w:val="24"/>
              </w:rPr>
            </w:pPr>
            <w:r w:rsidRPr="00737C31">
              <w:rPr>
                <w:rFonts w:ascii="Arial" w:hAnsi="Arial" w:cs="Arial"/>
                <w:bCs/>
                <w:sz w:val="24"/>
                <w:szCs w:val="24"/>
              </w:rPr>
              <w:t>Providing Portfolio support;</w:t>
            </w:r>
          </w:p>
          <w:p w:rsidR="00737C31" w:rsidRPr="00737C31" w:rsidRDefault="00737C31" w:rsidP="00737C31">
            <w:pPr>
              <w:pStyle w:val="ListParagraph"/>
              <w:numPr>
                <w:ilvl w:val="0"/>
                <w:numId w:val="19"/>
              </w:numPr>
              <w:autoSpaceDE w:val="0"/>
              <w:autoSpaceDN w:val="0"/>
              <w:adjustRightInd w:val="0"/>
              <w:rPr>
                <w:rFonts w:ascii="Arial" w:hAnsi="Arial" w:cs="Arial"/>
                <w:bCs/>
                <w:sz w:val="24"/>
                <w:szCs w:val="24"/>
              </w:rPr>
            </w:pPr>
            <w:r w:rsidRPr="00737C31">
              <w:rPr>
                <w:rFonts w:ascii="Arial" w:hAnsi="Arial" w:cs="Arial"/>
                <w:bCs/>
                <w:sz w:val="24"/>
                <w:szCs w:val="24"/>
              </w:rPr>
              <w:t>Monitor Portfolio development; and</w:t>
            </w:r>
          </w:p>
          <w:p w:rsidR="00AC3D9D" w:rsidRPr="00737C31" w:rsidRDefault="00737C31" w:rsidP="00737C31">
            <w:pPr>
              <w:pStyle w:val="ListParagraph"/>
              <w:numPr>
                <w:ilvl w:val="0"/>
                <w:numId w:val="19"/>
              </w:numPr>
              <w:autoSpaceDE w:val="0"/>
              <w:autoSpaceDN w:val="0"/>
              <w:adjustRightInd w:val="0"/>
              <w:spacing w:after="200"/>
              <w:ind w:left="714" w:hanging="357"/>
              <w:rPr>
                <w:rFonts w:ascii="Arial" w:hAnsi="Arial" w:cs="Arial"/>
                <w:bCs/>
                <w:sz w:val="24"/>
                <w:szCs w:val="24"/>
              </w:rPr>
            </w:pPr>
            <w:r w:rsidRPr="00737C31">
              <w:rPr>
                <w:rFonts w:ascii="Arial" w:hAnsi="Arial" w:cs="Arial"/>
                <w:bCs/>
                <w:sz w:val="24"/>
                <w:szCs w:val="24"/>
              </w:rPr>
              <w:t>Prepare recommendations on individual Candidate Schemes and the overall programme of the Wider Investment Fund.</w:t>
            </w:r>
            <w:r w:rsidR="00C60BCF" w:rsidRPr="00737C31">
              <w:rPr>
                <w:rFonts w:ascii="Arial" w:hAnsi="Arial" w:cs="Arial"/>
                <w:bCs/>
                <w:sz w:val="24"/>
                <w:szCs w:val="24"/>
              </w:rPr>
              <w:t xml:space="preserve"> </w:t>
            </w:r>
          </w:p>
        </w:tc>
      </w:tr>
      <w:tr w:rsidR="00AC3D9D" w:rsidTr="00DB3D6F">
        <w:tc>
          <w:tcPr>
            <w:tcW w:w="9242" w:type="dxa"/>
            <w:gridSpan w:val="2"/>
          </w:tcPr>
          <w:p w:rsidR="00AC3D9D" w:rsidRPr="00AC3D9D" w:rsidRDefault="00AC3D9D" w:rsidP="00DB3D6F">
            <w:pPr>
              <w:autoSpaceDE w:val="0"/>
              <w:autoSpaceDN w:val="0"/>
              <w:adjustRightInd w:val="0"/>
              <w:spacing w:after="200"/>
              <w:rPr>
                <w:rFonts w:ascii="Arial" w:hAnsi="Arial" w:cs="Arial"/>
                <w:b/>
                <w:bCs/>
                <w:sz w:val="24"/>
                <w:szCs w:val="24"/>
              </w:rPr>
            </w:pPr>
            <w:r w:rsidRPr="00AC3D9D">
              <w:rPr>
                <w:rFonts w:ascii="Arial" w:hAnsi="Arial" w:cs="Arial"/>
                <w:b/>
                <w:bCs/>
                <w:sz w:val="24"/>
                <w:szCs w:val="24"/>
              </w:rPr>
              <w:t>Issues</w:t>
            </w:r>
          </w:p>
        </w:tc>
      </w:tr>
      <w:tr w:rsidR="00AC3D9D" w:rsidTr="00DB3D6F">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6</w:t>
            </w:r>
            <w:r w:rsidR="00DB3D6F">
              <w:rPr>
                <w:rFonts w:ascii="Arial" w:hAnsi="Arial" w:cs="Arial"/>
                <w:bCs/>
                <w:sz w:val="24"/>
                <w:szCs w:val="24"/>
              </w:rPr>
              <w:t>.</w:t>
            </w:r>
          </w:p>
        </w:tc>
        <w:tc>
          <w:tcPr>
            <w:tcW w:w="8567" w:type="dxa"/>
          </w:tcPr>
          <w:p w:rsidR="00AC3D9D" w:rsidRPr="00AC3D9D" w:rsidRDefault="00A822B9" w:rsidP="00BC6800">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Whilst developing the Terms of Reference for the Programme Board it became clear that it would also have a </w:t>
            </w:r>
            <w:r w:rsidR="006968D5">
              <w:rPr>
                <w:rFonts w:ascii="Arial" w:hAnsi="Arial" w:cs="Arial"/>
                <w:bCs/>
                <w:sz w:val="24"/>
                <w:szCs w:val="24"/>
              </w:rPr>
              <w:t xml:space="preserve">generic </w:t>
            </w:r>
            <w:r>
              <w:rPr>
                <w:rFonts w:ascii="Arial" w:hAnsi="Arial" w:cs="Arial"/>
                <w:bCs/>
                <w:sz w:val="24"/>
                <w:szCs w:val="24"/>
              </w:rPr>
              <w:t xml:space="preserve">role in supporting the Regional Cabinet </w:t>
            </w:r>
            <w:r w:rsidR="006968D5">
              <w:rPr>
                <w:rFonts w:ascii="Arial" w:hAnsi="Arial" w:cs="Arial"/>
                <w:bCs/>
                <w:sz w:val="24"/>
                <w:szCs w:val="24"/>
              </w:rPr>
              <w:t>in delivering the aspirations for the City Deal as set out in the agreement between the Welsh Government, the UK Government and the Councils dated 15.03.16 and appended as schedule 7 to the Cardiff Capital Region City Deal Joint Working Agreement.</w:t>
            </w:r>
          </w:p>
        </w:tc>
      </w:tr>
      <w:tr w:rsidR="00AC3D9D" w:rsidTr="00DB3D6F">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7</w:t>
            </w:r>
            <w:r w:rsidR="00DB3D6F">
              <w:rPr>
                <w:rFonts w:ascii="Arial" w:hAnsi="Arial" w:cs="Arial"/>
                <w:bCs/>
                <w:sz w:val="24"/>
                <w:szCs w:val="24"/>
              </w:rPr>
              <w:t>.</w:t>
            </w:r>
          </w:p>
        </w:tc>
        <w:tc>
          <w:tcPr>
            <w:tcW w:w="8567" w:type="dxa"/>
          </w:tcPr>
          <w:p w:rsidR="00002C96" w:rsidRPr="00002C96" w:rsidRDefault="00A822B9" w:rsidP="00A822B9">
            <w:pPr>
              <w:pStyle w:val="SectionBody"/>
              <w:numPr>
                <w:ilvl w:val="0"/>
                <w:numId w:val="0"/>
              </w:numPr>
              <w:rPr>
                <w:sz w:val="24"/>
                <w:szCs w:val="24"/>
              </w:rPr>
            </w:pPr>
            <w:r>
              <w:rPr>
                <w:sz w:val="24"/>
                <w:szCs w:val="24"/>
              </w:rPr>
              <w:t>The Terms of Reference have therefore been drafted to encompass the purposes detailed in the Assurance Framework and an additional purpose of regional working.</w:t>
            </w:r>
          </w:p>
        </w:tc>
      </w:tr>
      <w:tr w:rsidR="00AC3D9D" w:rsidTr="00667069">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lastRenderedPageBreak/>
              <w:t>8</w:t>
            </w:r>
            <w:r w:rsidR="00DB3D6F">
              <w:rPr>
                <w:rFonts w:ascii="Arial" w:hAnsi="Arial" w:cs="Arial"/>
                <w:bCs/>
                <w:sz w:val="24"/>
                <w:szCs w:val="24"/>
              </w:rPr>
              <w:t>.</w:t>
            </w:r>
          </w:p>
        </w:tc>
        <w:tc>
          <w:tcPr>
            <w:tcW w:w="8567" w:type="dxa"/>
          </w:tcPr>
          <w:p w:rsidR="00002C96" w:rsidRPr="000904FE" w:rsidRDefault="00667069" w:rsidP="000904FE">
            <w:pPr>
              <w:autoSpaceDE w:val="0"/>
              <w:autoSpaceDN w:val="0"/>
              <w:adjustRightInd w:val="0"/>
              <w:spacing w:after="200"/>
              <w:jc w:val="both"/>
              <w:rPr>
                <w:rFonts w:ascii="Arial" w:hAnsi="Arial" w:cs="Arial"/>
                <w:bCs/>
                <w:sz w:val="24"/>
                <w:szCs w:val="24"/>
              </w:rPr>
            </w:pPr>
            <w:r>
              <w:rPr>
                <w:rFonts w:ascii="Arial" w:hAnsi="Arial" w:cs="Arial"/>
                <w:bCs/>
                <w:sz w:val="24"/>
                <w:szCs w:val="24"/>
              </w:rPr>
              <w:t>The</w:t>
            </w:r>
            <w:r w:rsidR="00A822B9">
              <w:rPr>
                <w:rFonts w:ascii="Arial" w:hAnsi="Arial" w:cs="Arial"/>
                <w:bCs/>
                <w:sz w:val="24"/>
                <w:szCs w:val="24"/>
              </w:rPr>
              <w:t>se</w:t>
            </w:r>
            <w:r w:rsidR="000904FE">
              <w:rPr>
                <w:rFonts w:ascii="Arial" w:hAnsi="Arial" w:cs="Arial"/>
                <w:bCs/>
                <w:sz w:val="24"/>
                <w:szCs w:val="24"/>
              </w:rPr>
              <w:t xml:space="preserve"> proposed</w:t>
            </w:r>
            <w:r w:rsidR="00A822B9">
              <w:rPr>
                <w:rFonts w:ascii="Arial" w:hAnsi="Arial" w:cs="Arial"/>
                <w:bCs/>
                <w:sz w:val="24"/>
                <w:szCs w:val="24"/>
              </w:rPr>
              <w:t xml:space="preserve"> Terms of Reference have been considered and agreed by the Programme Board</w:t>
            </w:r>
            <w:r w:rsidR="000904FE">
              <w:rPr>
                <w:rFonts w:ascii="Arial" w:hAnsi="Arial" w:cs="Arial"/>
                <w:bCs/>
                <w:sz w:val="24"/>
                <w:szCs w:val="24"/>
              </w:rPr>
              <w:t>.</w:t>
            </w:r>
          </w:p>
        </w:tc>
      </w:tr>
      <w:tr w:rsidR="00AC3D9D" w:rsidTr="00DB3D6F">
        <w:tc>
          <w:tcPr>
            <w:tcW w:w="9242" w:type="dxa"/>
            <w:gridSpan w:val="2"/>
          </w:tcPr>
          <w:p w:rsidR="00AC3D9D" w:rsidRPr="00AC3D9D" w:rsidRDefault="004B73EA" w:rsidP="00DB3D6F">
            <w:pPr>
              <w:autoSpaceDE w:val="0"/>
              <w:autoSpaceDN w:val="0"/>
              <w:adjustRightInd w:val="0"/>
              <w:spacing w:after="200"/>
              <w:rPr>
                <w:rFonts w:ascii="Arial" w:hAnsi="Arial" w:cs="Arial"/>
                <w:b/>
                <w:bCs/>
                <w:sz w:val="24"/>
                <w:szCs w:val="24"/>
              </w:rPr>
            </w:pPr>
            <w:r>
              <w:rPr>
                <w:rFonts w:ascii="Arial" w:hAnsi="Arial" w:cs="Arial"/>
                <w:b/>
                <w:bCs/>
                <w:sz w:val="24"/>
                <w:szCs w:val="24"/>
              </w:rPr>
              <w:t>Reason for Recommendation</w:t>
            </w:r>
          </w:p>
        </w:tc>
      </w:tr>
      <w:tr w:rsidR="00AC3D9D" w:rsidTr="00DB3D6F">
        <w:tc>
          <w:tcPr>
            <w:tcW w:w="675" w:type="dxa"/>
          </w:tcPr>
          <w:p w:rsidR="00AC3D9D"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9</w:t>
            </w:r>
            <w:r w:rsidR="00DB3D6F">
              <w:rPr>
                <w:rFonts w:ascii="Arial" w:hAnsi="Arial" w:cs="Arial"/>
                <w:bCs/>
                <w:sz w:val="24"/>
                <w:szCs w:val="24"/>
              </w:rPr>
              <w:t>.</w:t>
            </w:r>
          </w:p>
        </w:tc>
        <w:tc>
          <w:tcPr>
            <w:tcW w:w="8567" w:type="dxa"/>
          </w:tcPr>
          <w:p w:rsidR="00AC3D9D" w:rsidRPr="00AC3D9D" w:rsidRDefault="00667069" w:rsidP="00D56D31">
            <w:pPr>
              <w:autoSpaceDE w:val="0"/>
              <w:autoSpaceDN w:val="0"/>
              <w:adjustRightInd w:val="0"/>
              <w:spacing w:after="200"/>
              <w:jc w:val="both"/>
              <w:rPr>
                <w:rFonts w:ascii="Arial" w:hAnsi="Arial" w:cs="Arial"/>
                <w:bCs/>
                <w:sz w:val="24"/>
                <w:szCs w:val="24"/>
              </w:rPr>
            </w:pPr>
            <w:r>
              <w:rPr>
                <w:rFonts w:ascii="Arial" w:hAnsi="Arial" w:cs="Arial"/>
                <w:bCs/>
                <w:sz w:val="24"/>
                <w:szCs w:val="24"/>
              </w:rPr>
              <w:t xml:space="preserve">To comply with the requirements of the Joint Working Agreement and Assurance Framework by </w:t>
            </w:r>
            <w:r w:rsidR="000904FE">
              <w:rPr>
                <w:rFonts w:ascii="Arial" w:hAnsi="Arial" w:cs="Arial"/>
                <w:bCs/>
                <w:sz w:val="24"/>
                <w:szCs w:val="24"/>
              </w:rPr>
              <w:t>agreeing the Terms of Reference for the Programme Board.</w:t>
            </w:r>
          </w:p>
        </w:tc>
      </w:tr>
      <w:tr w:rsidR="00DB3D6F" w:rsidTr="00DB3D6F">
        <w:tc>
          <w:tcPr>
            <w:tcW w:w="9242" w:type="dxa"/>
            <w:gridSpan w:val="2"/>
          </w:tcPr>
          <w:p w:rsidR="00DB3D6F" w:rsidRPr="00DB3D6F" w:rsidRDefault="00DB3D6F" w:rsidP="00DB3D6F">
            <w:pPr>
              <w:autoSpaceDE w:val="0"/>
              <w:autoSpaceDN w:val="0"/>
              <w:adjustRightInd w:val="0"/>
              <w:spacing w:after="200"/>
              <w:rPr>
                <w:rFonts w:ascii="Arial" w:hAnsi="Arial" w:cs="Arial"/>
                <w:b/>
                <w:bCs/>
                <w:sz w:val="24"/>
                <w:szCs w:val="24"/>
              </w:rPr>
            </w:pPr>
            <w:r w:rsidRPr="00DB3D6F">
              <w:rPr>
                <w:rFonts w:ascii="Arial" w:hAnsi="Arial" w:cs="Arial"/>
                <w:b/>
                <w:bCs/>
                <w:sz w:val="24"/>
                <w:szCs w:val="24"/>
              </w:rPr>
              <w:t>Financial Implications</w:t>
            </w:r>
          </w:p>
        </w:tc>
      </w:tr>
      <w:tr w:rsidR="00DB3D6F" w:rsidTr="00DB3D6F">
        <w:tc>
          <w:tcPr>
            <w:tcW w:w="675" w:type="dxa"/>
          </w:tcPr>
          <w:p w:rsidR="00DB3D6F" w:rsidRPr="00AC3D9D" w:rsidRDefault="009B5857" w:rsidP="00DB3D6F">
            <w:pPr>
              <w:autoSpaceDE w:val="0"/>
              <w:autoSpaceDN w:val="0"/>
              <w:adjustRightInd w:val="0"/>
              <w:spacing w:after="200"/>
              <w:rPr>
                <w:rFonts w:ascii="Arial" w:hAnsi="Arial" w:cs="Arial"/>
                <w:bCs/>
                <w:sz w:val="24"/>
                <w:szCs w:val="24"/>
              </w:rPr>
            </w:pPr>
            <w:r>
              <w:rPr>
                <w:rFonts w:ascii="Arial" w:hAnsi="Arial" w:cs="Arial"/>
                <w:bCs/>
                <w:sz w:val="24"/>
                <w:szCs w:val="24"/>
              </w:rPr>
              <w:t>1</w:t>
            </w:r>
            <w:r w:rsidR="00DB3D6F">
              <w:rPr>
                <w:rFonts w:ascii="Arial" w:hAnsi="Arial" w:cs="Arial"/>
                <w:bCs/>
                <w:sz w:val="24"/>
                <w:szCs w:val="24"/>
              </w:rPr>
              <w:t>0.</w:t>
            </w:r>
          </w:p>
        </w:tc>
        <w:tc>
          <w:tcPr>
            <w:tcW w:w="8567" w:type="dxa"/>
          </w:tcPr>
          <w:p w:rsidR="00DB3D6F" w:rsidRPr="00AC3D9D" w:rsidRDefault="00667069" w:rsidP="00D56D31">
            <w:pPr>
              <w:autoSpaceDE w:val="0"/>
              <w:autoSpaceDN w:val="0"/>
              <w:adjustRightInd w:val="0"/>
              <w:spacing w:after="200"/>
              <w:jc w:val="both"/>
              <w:rPr>
                <w:rFonts w:ascii="Arial" w:hAnsi="Arial" w:cs="Arial"/>
                <w:bCs/>
                <w:sz w:val="24"/>
                <w:szCs w:val="24"/>
              </w:rPr>
            </w:pPr>
            <w:r>
              <w:rPr>
                <w:rFonts w:ascii="Arial" w:hAnsi="Arial" w:cs="Arial"/>
                <w:bCs/>
                <w:sz w:val="24"/>
                <w:szCs w:val="24"/>
              </w:rPr>
              <w:t>The</w:t>
            </w:r>
            <w:r w:rsidR="000904FE">
              <w:rPr>
                <w:rFonts w:ascii="Arial" w:hAnsi="Arial" w:cs="Arial"/>
                <w:bCs/>
                <w:sz w:val="24"/>
                <w:szCs w:val="24"/>
              </w:rPr>
              <w:t>re are no direct</w:t>
            </w:r>
            <w:r>
              <w:rPr>
                <w:rFonts w:ascii="Arial" w:hAnsi="Arial" w:cs="Arial"/>
                <w:bCs/>
                <w:sz w:val="24"/>
                <w:szCs w:val="24"/>
              </w:rPr>
              <w:t xml:space="preserve"> financial implications </w:t>
            </w:r>
            <w:r w:rsidR="000904FE">
              <w:rPr>
                <w:rFonts w:ascii="Arial" w:hAnsi="Arial" w:cs="Arial"/>
                <w:bCs/>
                <w:sz w:val="24"/>
                <w:szCs w:val="24"/>
              </w:rPr>
              <w:t>related to this report.</w:t>
            </w:r>
          </w:p>
        </w:tc>
      </w:tr>
      <w:tr w:rsidR="006968D5" w:rsidTr="00BD6F4B">
        <w:tc>
          <w:tcPr>
            <w:tcW w:w="9242" w:type="dxa"/>
            <w:gridSpan w:val="2"/>
          </w:tcPr>
          <w:p w:rsidR="006968D5" w:rsidRPr="006968D5" w:rsidRDefault="006968D5" w:rsidP="006968D5">
            <w:pPr>
              <w:autoSpaceDE w:val="0"/>
              <w:autoSpaceDN w:val="0"/>
              <w:adjustRightInd w:val="0"/>
              <w:spacing w:after="200"/>
              <w:jc w:val="both"/>
              <w:rPr>
                <w:rFonts w:ascii="Arial" w:hAnsi="Arial" w:cs="Arial"/>
                <w:b/>
                <w:bCs/>
                <w:sz w:val="24"/>
                <w:szCs w:val="24"/>
              </w:rPr>
            </w:pPr>
            <w:r w:rsidRPr="006968D5">
              <w:rPr>
                <w:rFonts w:ascii="Arial" w:hAnsi="Arial" w:cs="Arial"/>
                <w:b/>
                <w:bCs/>
                <w:sz w:val="24"/>
                <w:szCs w:val="24"/>
              </w:rPr>
              <w:t>Legal Implications</w:t>
            </w:r>
          </w:p>
        </w:tc>
      </w:tr>
      <w:tr w:rsidR="006968D5" w:rsidTr="00DB3D6F">
        <w:tc>
          <w:tcPr>
            <w:tcW w:w="675" w:type="dxa"/>
          </w:tcPr>
          <w:p w:rsidR="006968D5" w:rsidRDefault="006968D5" w:rsidP="00DB3D6F">
            <w:pPr>
              <w:autoSpaceDE w:val="0"/>
              <w:autoSpaceDN w:val="0"/>
              <w:adjustRightInd w:val="0"/>
              <w:rPr>
                <w:rFonts w:ascii="Arial" w:hAnsi="Arial" w:cs="Arial"/>
                <w:bCs/>
                <w:sz w:val="24"/>
                <w:szCs w:val="24"/>
              </w:rPr>
            </w:pPr>
            <w:r>
              <w:rPr>
                <w:rFonts w:ascii="Arial" w:hAnsi="Arial" w:cs="Arial"/>
                <w:bCs/>
                <w:sz w:val="24"/>
                <w:szCs w:val="24"/>
              </w:rPr>
              <w:t>11.</w:t>
            </w:r>
          </w:p>
        </w:tc>
        <w:tc>
          <w:tcPr>
            <w:tcW w:w="8567" w:type="dxa"/>
          </w:tcPr>
          <w:p w:rsidR="006968D5" w:rsidRDefault="006968D5" w:rsidP="00D56D31">
            <w:pPr>
              <w:autoSpaceDE w:val="0"/>
              <w:autoSpaceDN w:val="0"/>
              <w:adjustRightInd w:val="0"/>
              <w:jc w:val="both"/>
              <w:rPr>
                <w:rFonts w:ascii="Arial" w:hAnsi="Arial" w:cs="Arial"/>
                <w:bCs/>
                <w:sz w:val="24"/>
                <w:szCs w:val="24"/>
              </w:rPr>
            </w:pPr>
            <w:r>
              <w:rPr>
                <w:rFonts w:ascii="Arial" w:hAnsi="Arial" w:cs="Arial"/>
                <w:bCs/>
                <w:sz w:val="24"/>
                <w:szCs w:val="24"/>
              </w:rPr>
              <w:t>The Joint Working Agreement (JWA) provides that the Cardiff Capital Region Joint Cabinet shall establish a Programme Board with:</w:t>
            </w:r>
          </w:p>
          <w:p w:rsidR="006968D5" w:rsidRPr="006968D5" w:rsidRDefault="006968D5" w:rsidP="006968D5">
            <w:pPr>
              <w:pStyle w:val="ListParagraph"/>
              <w:numPr>
                <w:ilvl w:val="0"/>
                <w:numId w:val="20"/>
              </w:numPr>
              <w:autoSpaceDE w:val="0"/>
              <w:autoSpaceDN w:val="0"/>
              <w:adjustRightInd w:val="0"/>
              <w:jc w:val="both"/>
              <w:rPr>
                <w:rFonts w:ascii="Arial" w:hAnsi="Arial" w:cs="Arial"/>
                <w:bCs/>
                <w:sz w:val="24"/>
                <w:szCs w:val="24"/>
              </w:rPr>
            </w:pPr>
            <w:r w:rsidRPr="006968D5">
              <w:rPr>
                <w:rFonts w:ascii="Arial" w:hAnsi="Arial" w:cs="Arial"/>
                <w:bCs/>
                <w:sz w:val="24"/>
                <w:szCs w:val="24"/>
              </w:rPr>
              <w:t>The membership being prescribed in the Cardiff Capital Region City Deal Joint Working Agreement together with such other representatives as the Joint Cabinet may determine; and</w:t>
            </w:r>
          </w:p>
          <w:p w:rsidR="006968D5" w:rsidRPr="006968D5" w:rsidRDefault="006968D5" w:rsidP="006968D5">
            <w:pPr>
              <w:pStyle w:val="ListParagraph"/>
              <w:numPr>
                <w:ilvl w:val="0"/>
                <w:numId w:val="20"/>
              </w:numPr>
              <w:autoSpaceDE w:val="0"/>
              <w:autoSpaceDN w:val="0"/>
              <w:adjustRightInd w:val="0"/>
              <w:spacing w:after="200"/>
              <w:ind w:left="714" w:hanging="357"/>
              <w:jc w:val="both"/>
              <w:rPr>
                <w:rFonts w:ascii="Arial" w:hAnsi="Arial" w:cs="Arial"/>
                <w:bCs/>
                <w:sz w:val="24"/>
                <w:szCs w:val="24"/>
              </w:rPr>
            </w:pPr>
            <w:r w:rsidRPr="006968D5">
              <w:rPr>
                <w:rFonts w:ascii="Arial" w:hAnsi="Arial" w:cs="Arial"/>
                <w:bCs/>
                <w:sz w:val="24"/>
                <w:szCs w:val="24"/>
              </w:rPr>
              <w:t>The terms of reference be determined by the Joint Cabinet.</w:t>
            </w:r>
          </w:p>
        </w:tc>
      </w:tr>
      <w:tr w:rsidR="006968D5" w:rsidTr="00DB3D6F">
        <w:tc>
          <w:tcPr>
            <w:tcW w:w="675" w:type="dxa"/>
          </w:tcPr>
          <w:p w:rsidR="006968D5" w:rsidRDefault="006968D5" w:rsidP="00DB3D6F">
            <w:pPr>
              <w:autoSpaceDE w:val="0"/>
              <w:autoSpaceDN w:val="0"/>
              <w:adjustRightInd w:val="0"/>
              <w:rPr>
                <w:rFonts w:ascii="Arial" w:hAnsi="Arial" w:cs="Arial"/>
                <w:bCs/>
                <w:sz w:val="24"/>
                <w:szCs w:val="24"/>
              </w:rPr>
            </w:pPr>
            <w:r>
              <w:rPr>
                <w:rFonts w:ascii="Arial" w:hAnsi="Arial" w:cs="Arial"/>
                <w:bCs/>
                <w:sz w:val="24"/>
                <w:szCs w:val="24"/>
              </w:rPr>
              <w:t>12.</w:t>
            </w:r>
          </w:p>
        </w:tc>
        <w:tc>
          <w:tcPr>
            <w:tcW w:w="8567" w:type="dxa"/>
          </w:tcPr>
          <w:p w:rsidR="006968D5" w:rsidRDefault="006968D5" w:rsidP="006968D5">
            <w:pPr>
              <w:autoSpaceDE w:val="0"/>
              <w:autoSpaceDN w:val="0"/>
              <w:adjustRightInd w:val="0"/>
              <w:spacing w:after="200"/>
              <w:jc w:val="both"/>
              <w:rPr>
                <w:rFonts w:ascii="Arial" w:hAnsi="Arial" w:cs="Arial"/>
                <w:bCs/>
                <w:sz w:val="24"/>
                <w:szCs w:val="24"/>
              </w:rPr>
            </w:pPr>
            <w:r>
              <w:rPr>
                <w:rFonts w:ascii="Arial" w:hAnsi="Arial" w:cs="Arial"/>
                <w:bCs/>
                <w:sz w:val="24"/>
                <w:szCs w:val="24"/>
              </w:rPr>
              <w:t>It is noted that the Programme Board is not a decision making body.</w:t>
            </w:r>
          </w:p>
        </w:tc>
      </w:tr>
      <w:tr w:rsidR="00DB3D6F" w:rsidTr="00DB3D6F">
        <w:tc>
          <w:tcPr>
            <w:tcW w:w="9242" w:type="dxa"/>
            <w:gridSpan w:val="2"/>
          </w:tcPr>
          <w:p w:rsidR="00DB3D6F" w:rsidRPr="00DB3D6F" w:rsidRDefault="004B73EA" w:rsidP="00DB3D6F">
            <w:pPr>
              <w:autoSpaceDE w:val="0"/>
              <w:autoSpaceDN w:val="0"/>
              <w:adjustRightInd w:val="0"/>
              <w:spacing w:after="200"/>
              <w:rPr>
                <w:rFonts w:ascii="Arial" w:hAnsi="Arial" w:cs="Arial"/>
                <w:b/>
                <w:bCs/>
                <w:sz w:val="24"/>
                <w:szCs w:val="24"/>
              </w:rPr>
            </w:pPr>
            <w:r>
              <w:rPr>
                <w:rFonts w:ascii="Arial" w:hAnsi="Arial" w:cs="Arial"/>
                <w:b/>
                <w:bCs/>
                <w:sz w:val="24"/>
                <w:szCs w:val="24"/>
              </w:rPr>
              <w:t>RECOMMENDATION</w:t>
            </w:r>
          </w:p>
        </w:tc>
      </w:tr>
      <w:tr w:rsidR="00DB3D6F" w:rsidTr="00DB3D6F">
        <w:tc>
          <w:tcPr>
            <w:tcW w:w="9242" w:type="dxa"/>
            <w:gridSpan w:val="2"/>
          </w:tcPr>
          <w:p w:rsidR="00DB3D6F" w:rsidRPr="00AC3D9D" w:rsidRDefault="00DB3D6F" w:rsidP="00DB3D6F">
            <w:pPr>
              <w:autoSpaceDE w:val="0"/>
              <w:autoSpaceDN w:val="0"/>
              <w:adjustRightInd w:val="0"/>
              <w:spacing w:after="200"/>
              <w:rPr>
                <w:rFonts w:ascii="Arial" w:hAnsi="Arial" w:cs="Arial"/>
                <w:bCs/>
                <w:sz w:val="24"/>
                <w:szCs w:val="24"/>
              </w:rPr>
            </w:pPr>
            <w:r>
              <w:rPr>
                <w:rFonts w:ascii="Arial" w:hAnsi="Arial" w:cs="Arial"/>
                <w:bCs/>
                <w:sz w:val="24"/>
                <w:szCs w:val="24"/>
              </w:rPr>
              <w:t>It is recommended that the Cardiff Capital Region Cabinet:</w:t>
            </w:r>
          </w:p>
        </w:tc>
      </w:tr>
      <w:tr w:rsidR="00DB3D6F" w:rsidTr="00DB3D6F">
        <w:tc>
          <w:tcPr>
            <w:tcW w:w="675" w:type="dxa"/>
          </w:tcPr>
          <w:p w:rsidR="00DB3D6F" w:rsidRPr="00AC3D9D" w:rsidRDefault="00DB3D6F" w:rsidP="00DB3D6F">
            <w:pPr>
              <w:autoSpaceDE w:val="0"/>
              <w:autoSpaceDN w:val="0"/>
              <w:adjustRightInd w:val="0"/>
              <w:spacing w:after="200"/>
              <w:jc w:val="right"/>
              <w:rPr>
                <w:rFonts w:ascii="Arial" w:hAnsi="Arial" w:cs="Arial"/>
                <w:bCs/>
                <w:sz w:val="24"/>
                <w:szCs w:val="24"/>
              </w:rPr>
            </w:pPr>
            <w:r>
              <w:rPr>
                <w:rFonts w:ascii="Arial" w:hAnsi="Arial" w:cs="Arial"/>
                <w:bCs/>
                <w:sz w:val="24"/>
                <w:szCs w:val="24"/>
              </w:rPr>
              <w:t>a)</w:t>
            </w:r>
          </w:p>
        </w:tc>
        <w:tc>
          <w:tcPr>
            <w:tcW w:w="8567" w:type="dxa"/>
          </w:tcPr>
          <w:p w:rsidR="00DB3D6F" w:rsidRPr="00AC3D9D" w:rsidRDefault="006968D5" w:rsidP="00D56D31">
            <w:pPr>
              <w:autoSpaceDE w:val="0"/>
              <w:autoSpaceDN w:val="0"/>
              <w:adjustRightInd w:val="0"/>
              <w:spacing w:after="200"/>
              <w:jc w:val="both"/>
              <w:rPr>
                <w:rFonts w:ascii="Arial" w:hAnsi="Arial" w:cs="Arial"/>
                <w:bCs/>
                <w:sz w:val="24"/>
                <w:szCs w:val="24"/>
              </w:rPr>
            </w:pPr>
            <w:r>
              <w:rPr>
                <w:rFonts w:ascii="Arial" w:hAnsi="Arial" w:cs="Arial"/>
                <w:bCs/>
                <w:sz w:val="24"/>
                <w:szCs w:val="24"/>
              </w:rPr>
              <w:t>Establish</w:t>
            </w:r>
            <w:r w:rsidR="00667069">
              <w:rPr>
                <w:rFonts w:ascii="Arial" w:hAnsi="Arial" w:cs="Arial"/>
                <w:bCs/>
                <w:sz w:val="24"/>
                <w:szCs w:val="24"/>
              </w:rPr>
              <w:t xml:space="preserve"> the </w:t>
            </w:r>
            <w:r w:rsidR="000904FE">
              <w:rPr>
                <w:rFonts w:ascii="Arial" w:hAnsi="Arial" w:cs="Arial"/>
                <w:bCs/>
                <w:sz w:val="24"/>
                <w:szCs w:val="24"/>
              </w:rPr>
              <w:t>Cardiff Capital Region Programme Board</w:t>
            </w:r>
            <w:r>
              <w:rPr>
                <w:rFonts w:ascii="Arial" w:hAnsi="Arial" w:cs="Arial"/>
                <w:bCs/>
                <w:sz w:val="24"/>
                <w:szCs w:val="24"/>
              </w:rPr>
              <w:t xml:space="preserve"> with the</w:t>
            </w:r>
            <w:r w:rsidR="000904FE">
              <w:rPr>
                <w:rFonts w:ascii="Arial" w:hAnsi="Arial" w:cs="Arial"/>
                <w:bCs/>
                <w:sz w:val="24"/>
                <w:szCs w:val="24"/>
              </w:rPr>
              <w:t xml:space="preserve"> Terms of Reference as detailed in Appendix 1 to this report.</w:t>
            </w:r>
          </w:p>
        </w:tc>
      </w:tr>
    </w:tbl>
    <w:p w:rsidR="00C57CC8" w:rsidRDefault="00C57CC8" w:rsidP="009B2443">
      <w:pPr>
        <w:autoSpaceDE w:val="0"/>
        <w:autoSpaceDN w:val="0"/>
        <w:adjustRightInd w:val="0"/>
        <w:rPr>
          <w:rFonts w:ascii="Arial" w:hAnsi="Arial" w:cs="Arial"/>
          <w:bCs/>
          <w:sz w:val="24"/>
          <w:szCs w:val="24"/>
        </w:rPr>
      </w:pPr>
    </w:p>
    <w:p w:rsidR="00C57CC8" w:rsidRPr="00C57CC8" w:rsidRDefault="00101671" w:rsidP="009B2443">
      <w:pPr>
        <w:autoSpaceDE w:val="0"/>
        <w:autoSpaceDN w:val="0"/>
        <w:adjustRightInd w:val="0"/>
        <w:rPr>
          <w:rFonts w:ascii="Arial" w:hAnsi="Arial" w:cs="Arial"/>
          <w:b/>
          <w:bCs/>
          <w:sz w:val="24"/>
          <w:szCs w:val="24"/>
        </w:rPr>
      </w:pPr>
      <w:r>
        <w:rPr>
          <w:rFonts w:ascii="Arial" w:hAnsi="Arial" w:cs="Arial"/>
          <w:b/>
          <w:bCs/>
          <w:sz w:val="24"/>
          <w:szCs w:val="24"/>
        </w:rPr>
        <w:t>Sheila Davies</w:t>
      </w:r>
    </w:p>
    <w:p w:rsidR="00C57CC8" w:rsidRPr="00101671" w:rsidRDefault="00101671" w:rsidP="009B2443">
      <w:pPr>
        <w:autoSpaceDE w:val="0"/>
        <w:autoSpaceDN w:val="0"/>
        <w:adjustRightInd w:val="0"/>
        <w:rPr>
          <w:rFonts w:ascii="Arial" w:hAnsi="Arial" w:cs="Arial"/>
          <w:b/>
          <w:bCs/>
          <w:sz w:val="24"/>
          <w:szCs w:val="24"/>
        </w:rPr>
      </w:pPr>
      <w:r w:rsidRPr="00101671">
        <w:rPr>
          <w:rFonts w:ascii="Arial" w:hAnsi="Arial" w:cs="Arial"/>
          <w:b/>
          <w:bCs/>
          <w:sz w:val="24"/>
          <w:szCs w:val="24"/>
        </w:rPr>
        <w:t>10</w:t>
      </w:r>
      <w:r w:rsidRPr="00101671">
        <w:rPr>
          <w:rFonts w:ascii="Arial" w:hAnsi="Arial" w:cs="Arial"/>
          <w:b/>
          <w:bCs/>
          <w:sz w:val="24"/>
          <w:szCs w:val="24"/>
          <w:vertAlign w:val="superscript"/>
        </w:rPr>
        <w:t>th</w:t>
      </w:r>
      <w:r w:rsidRPr="00101671">
        <w:rPr>
          <w:rFonts w:ascii="Arial" w:hAnsi="Arial" w:cs="Arial"/>
          <w:b/>
          <w:bCs/>
          <w:sz w:val="24"/>
          <w:szCs w:val="24"/>
        </w:rPr>
        <w:t xml:space="preserve"> March 2017</w:t>
      </w:r>
    </w:p>
    <w:p w:rsidR="00C57CC8" w:rsidRPr="009B2443" w:rsidRDefault="00C57CC8" w:rsidP="009B2443">
      <w:pPr>
        <w:autoSpaceDE w:val="0"/>
        <w:autoSpaceDN w:val="0"/>
        <w:adjustRightInd w:val="0"/>
        <w:rPr>
          <w:rFonts w:ascii="Arial" w:hAnsi="Arial" w:cs="Arial"/>
          <w:bCs/>
          <w:sz w:val="24"/>
          <w:szCs w:val="24"/>
        </w:rPr>
      </w:pPr>
      <w:r w:rsidRPr="00C57CC8">
        <w:rPr>
          <w:rFonts w:ascii="Arial" w:hAnsi="Arial" w:cs="Arial"/>
          <w:bCs/>
          <w:i/>
          <w:sz w:val="24"/>
          <w:szCs w:val="24"/>
        </w:rPr>
        <w:t>The following appendices are attached</w:t>
      </w:r>
      <w:r>
        <w:rPr>
          <w:rFonts w:ascii="Arial" w:hAnsi="Arial" w:cs="Arial"/>
          <w:bCs/>
          <w:sz w:val="24"/>
          <w:szCs w:val="24"/>
        </w:rPr>
        <w:t>:</w:t>
      </w:r>
    </w:p>
    <w:p w:rsidR="009B2443" w:rsidRDefault="00C57CC8" w:rsidP="009B2443">
      <w:pPr>
        <w:autoSpaceDE w:val="0"/>
        <w:autoSpaceDN w:val="0"/>
        <w:adjustRightInd w:val="0"/>
        <w:rPr>
          <w:rFonts w:ascii="Arial" w:hAnsi="Arial" w:cs="Arial"/>
          <w:bCs/>
          <w:sz w:val="24"/>
          <w:szCs w:val="24"/>
        </w:rPr>
      </w:pPr>
      <w:r>
        <w:rPr>
          <w:rFonts w:ascii="Arial" w:hAnsi="Arial" w:cs="Arial"/>
          <w:bCs/>
          <w:sz w:val="24"/>
          <w:szCs w:val="24"/>
        </w:rPr>
        <w:t xml:space="preserve">Appendix 1: </w:t>
      </w:r>
      <w:r w:rsidR="007B5D54" w:rsidRPr="00756FA9">
        <w:rPr>
          <w:rFonts w:ascii="Arial" w:hAnsi="Arial" w:cs="Arial"/>
          <w:b/>
          <w:sz w:val="24"/>
          <w:szCs w:val="24"/>
        </w:rPr>
        <w:t xml:space="preserve">Cardiff Capital Region </w:t>
      </w:r>
      <w:r w:rsidR="009E11FF">
        <w:rPr>
          <w:rFonts w:ascii="Arial" w:hAnsi="Arial" w:cs="Arial"/>
          <w:b/>
          <w:sz w:val="24"/>
          <w:szCs w:val="24"/>
        </w:rPr>
        <w:t>Programme Board – Terms of reference</w:t>
      </w:r>
    </w:p>
    <w:p w:rsidR="009B2443" w:rsidRDefault="006968D5" w:rsidP="009B2443">
      <w:pPr>
        <w:spacing w:after="120" w:line="240" w:lineRule="auto"/>
        <w:rPr>
          <w:rFonts w:ascii="Arial" w:hAnsi="Arial" w:cs="Arial"/>
          <w:b/>
          <w:sz w:val="24"/>
          <w:szCs w:val="24"/>
        </w:rPr>
      </w:pPr>
      <w:r>
        <w:rPr>
          <w:rFonts w:ascii="Arial" w:hAnsi="Arial" w:cs="Arial"/>
          <w:b/>
          <w:sz w:val="24"/>
          <w:szCs w:val="24"/>
        </w:rPr>
        <w:t>Background paper – Cardiff Capital Region City Deal Agreement dated 1.3.17</w:t>
      </w:r>
    </w:p>
    <w:p w:rsidR="009E11FF" w:rsidRPr="009B2443" w:rsidRDefault="009E11FF" w:rsidP="009B2443">
      <w:pPr>
        <w:spacing w:after="120" w:line="240" w:lineRule="auto"/>
        <w:rPr>
          <w:rFonts w:ascii="Arial" w:hAnsi="Arial" w:cs="Arial"/>
          <w:b/>
          <w:sz w:val="24"/>
          <w:szCs w:val="24"/>
        </w:rPr>
      </w:pPr>
    </w:p>
    <w:p w:rsidR="007A03DE" w:rsidRDefault="007A03DE" w:rsidP="007A03DE">
      <w:pPr>
        <w:rPr>
          <w:rFonts w:ascii="Arial" w:hAnsi="Arial" w:cs="Arial"/>
          <w:sz w:val="24"/>
          <w:szCs w:val="24"/>
        </w:rPr>
      </w:pPr>
    </w:p>
    <w:p w:rsidR="00756FA9" w:rsidRDefault="00756FA9" w:rsidP="007A03DE">
      <w:pPr>
        <w:rPr>
          <w:rFonts w:ascii="Arial" w:hAnsi="Arial" w:cs="Arial"/>
          <w:sz w:val="24"/>
          <w:szCs w:val="24"/>
        </w:rPr>
      </w:pPr>
    </w:p>
    <w:p w:rsidR="003B1539" w:rsidRDefault="003B1539" w:rsidP="007A03DE">
      <w:pPr>
        <w:rPr>
          <w:rFonts w:ascii="Arial" w:hAnsi="Arial" w:cs="Arial"/>
          <w:sz w:val="24"/>
          <w:szCs w:val="24"/>
        </w:rPr>
      </w:pPr>
    </w:p>
    <w:p w:rsidR="003B1539" w:rsidRDefault="003B1539" w:rsidP="007A03DE">
      <w:pPr>
        <w:rPr>
          <w:rFonts w:ascii="Arial" w:hAnsi="Arial" w:cs="Arial"/>
          <w:sz w:val="24"/>
          <w:szCs w:val="24"/>
        </w:rPr>
      </w:pPr>
    </w:p>
    <w:p w:rsidR="008E2CFD" w:rsidRDefault="008E2CFD" w:rsidP="00756FA9">
      <w:pPr>
        <w:ind w:right="-141"/>
        <w:rPr>
          <w:rFonts w:ascii="Arial" w:hAnsi="Arial" w:cs="Arial"/>
          <w:b/>
          <w:sz w:val="24"/>
          <w:szCs w:val="24"/>
        </w:rPr>
      </w:pPr>
    </w:p>
    <w:p w:rsidR="008E2CFD" w:rsidRDefault="008E2CFD" w:rsidP="00756FA9">
      <w:pPr>
        <w:ind w:right="-141"/>
        <w:rPr>
          <w:rFonts w:ascii="Arial" w:hAnsi="Arial" w:cs="Arial"/>
          <w:b/>
          <w:sz w:val="24"/>
          <w:szCs w:val="24"/>
        </w:rPr>
      </w:pPr>
    </w:p>
    <w:p w:rsidR="000904FE" w:rsidRDefault="000904FE" w:rsidP="00756FA9">
      <w:pPr>
        <w:ind w:right="-141"/>
        <w:rPr>
          <w:rFonts w:ascii="Arial" w:hAnsi="Arial" w:cs="Arial"/>
          <w:b/>
          <w:sz w:val="24"/>
          <w:szCs w:val="24"/>
        </w:rPr>
      </w:pPr>
    </w:p>
    <w:p w:rsidR="009E11FF" w:rsidRPr="008E2CFD" w:rsidRDefault="00756FA9" w:rsidP="00756FA9">
      <w:pPr>
        <w:ind w:right="-141"/>
        <w:rPr>
          <w:rFonts w:ascii="Arial" w:hAnsi="Arial" w:cs="Arial"/>
          <w:b/>
          <w:sz w:val="24"/>
          <w:szCs w:val="24"/>
        </w:rPr>
      </w:pPr>
      <w:r w:rsidRPr="00756FA9">
        <w:rPr>
          <w:rFonts w:ascii="Arial" w:hAnsi="Arial" w:cs="Arial"/>
          <w:b/>
          <w:sz w:val="24"/>
          <w:szCs w:val="24"/>
        </w:rPr>
        <w:lastRenderedPageBreak/>
        <w:t xml:space="preserve">Appendix 1 – Cardiff Capital Region </w:t>
      </w:r>
      <w:r w:rsidR="009E11FF">
        <w:rPr>
          <w:rFonts w:ascii="Arial" w:hAnsi="Arial" w:cs="Arial"/>
          <w:b/>
          <w:sz w:val="24"/>
          <w:szCs w:val="24"/>
        </w:rPr>
        <w:t>Programme Board – Terms of Reference</w:t>
      </w:r>
    </w:p>
    <w:tbl>
      <w:tblPr>
        <w:tblStyle w:val="TableGrid"/>
        <w:tblW w:w="0" w:type="auto"/>
        <w:tblLook w:val="04A0" w:firstRow="1" w:lastRow="0" w:firstColumn="1" w:lastColumn="0" w:noHBand="0" w:noVBand="1"/>
      </w:tblPr>
      <w:tblGrid>
        <w:gridCol w:w="2405"/>
        <w:gridCol w:w="6611"/>
      </w:tblGrid>
      <w:tr w:rsidR="008E2CFD" w:rsidTr="00F8443B">
        <w:tc>
          <w:tcPr>
            <w:tcW w:w="9016" w:type="dxa"/>
            <w:gridSpan w:val="2"/>
          </w:tcPr>
          <w:p w:rsidR="008E2CFD" w:rsidRPr="00D81899" w:rsidRDefault="008E2CFD" w:rsidP="00F8443B">
            <w:pPr>
              <w:autoSpaceDE w:val="0"/>
              <w:autoSpaceDN w:val="0"/>
              <w:adjustRightInd w:val="0"/>
              <w:jc w:val="center"/>
              <w:rPr>
                <w:rFonts w:ascii="Arial" w:hAnsi="Arial" w:cs="Arial"/>
                <w:b/>
                <w:bCs/>
              </w:rPr>
            </w:pPr>
          </w:p>
          <w:p w:rsidR="008E2CFD" w:rsidRDefault="008E2CFD" w:rsidP="00F8443B">
            <w:pPr>
              <w:autoSpaceDE w:val="0"/>
              <w:autoSpaceDN w:val="0"/>
              <w:adjustRightInd w:val="0"/>
              <w:jc w:val="center"/>
              <w:rPr>
                <w:rFonts w:ascii="Arial" w:hAnsi="Arial" w:cs="Arial"/>
                <w:b/>
                <w:bCs/>
              </w:rPr>
            </w:pPr>
            <w:r w:rsidRPr="00D81899">
              <w:rPr>
                <w:rFonts w:ascii="Arial" w:hAnsi="Arial" w:cs="Arial"/>
                <w:b/>
                <w:bCs/>
              </w:rPr>
              <w:t>C</w:t>
            </w:r>
            <w:r w:rsidR="009E11FF">
              <w:rPr>
                <w:rFonts w:ascii="Arial" w:hAnsi="Arial" w:cs="Arial"/>
                <w:b/>
                <w:bCs/>
              </w:rPr>
              <w:t xml:space="preserve">ardiff </w:t>
            </w:r>
            <w:r w:rsidRPr="00D81899">
              <w:rPr>
                <w:rFonts w:ascii="Arial" w:hAnsi="Arial" w:cs="Arial"/>
                <w:b/>
                <w:bCs/>
              </w:rPr>
              <w:t>C</w:t>
            </w:r>
            <w:r w:rsidR="009E11FF">
              <w:rPr>
                <w:rFonts w:ascii="Arial" w:hAnsi="Arial" w:cs="Arial"/>
                <w:b/>
                <w:bCs/>
              </w:rPr>
              <w:t xml:space="preserve">apital </w:t>
            </w:r>
            <w:r w:rsidRPr="00D81899">
              <w:rPr>
                <w:rFonts w:ascii="Arial" w:hAnsi="Arial" w:cs="Arial"/>
                <w:b/>
                <w:bCs/>
              </w:rPr>
              <w:t>R</w:t>
            </w:r>
            <w:r w:rsidR="009E11FF">
              <w:rPr>
                <w:rFonts w:ascii="Arial" w:hAnsi="Arial" w:cs="Arial"/>
                <w:b/>
                <w:bCs/>
              </w:rPr>
              <w:t xml:space="preserve">egion </w:t>
            </w:r>
            <w:r w:rsidRPr="00D81899">
              <w:rPr>
                <w:rFonts w:ascii="Arial" w:hAnsi="Arial" w:cs="Arial"/>
                <w:b/>
                <w:bCs/>
              </w:rPr>
              <w:t>Programme Board</w:t>
            </w:r>
            <w:r>
              <w:rPr>
                <w:rFonts w:ascii="Arial" w:hAnsi="Arial" w:cs="Arial"/>
                <w:b/>
                <w:bCs/>
              </w:rPr>
              <w:t xml:space="preserve"> </w:t>
            </w:r>
          </w:p>
          <w:p w:rsidR="008E2CFD" w:rsidRPr="00D81899" w:rsidRDefault="008E2CFD" w:rsidP="00F8443B">
            <w:pPr>
              <w:autoSpaceDE w:val="0"/>
              <w:autoSpaceDN w:val="0"/>
              <w:adjustRightInd w:val="0"/>
              <w:jc w:val="center"/>
              <w:rPr>
                <w:rFonts w:ascii="Arial" w:hAnsi="Arial" w:cs="Arial"/>
                <w:b/>
                <w:bCs/>
              </w:rPr>
            </w:pPr>
            <w:r>
              <w:rPr>
                <w:rFonts w:ascii="Arial" w:hAnsi="Arial" w:cs="Arial"/>
                <w:b/>
                <w:bCs/>
              </w:rPr>
              <w:t>Summary of Terms of Reference</w:t>
            </w:r>
          </w:p>
          <w:p w:rsidR="008E2CFD" w:rsidRPr="00D81899" w:rsidRDefault="008E2CFD" w:rsidP="00F8443B">
            <w:pPr>
              <w:rPr>
                <w:rFonts w:ascii="Arial" w:hAnsi="Arial" w:cs="Arial"/>
              </w:rPr>
            </w:pPr>
          </w:p>
        </w:tc>
      </w:tr>
      <w:tr w:rsidR="008E2CFD" w:rsidTr="00DB4DD8">
        <w:tc>
          <w:tcPr>
            <w:tcW w:w="2405" w:type="dxa"/>
            <w:tcBorders>
              <w:bottom w:val="single" w:sz="4" w:space="0" w:color="auto"/>
            </w:tcBorders>
          </w:tcPr>
          <w:p w:rsidR="008E2CFD" w:rsidRPr="00D81899" w:rsidRDefault="008E2CFD" w:rsidP="00F8443B">
            <w:pPr>
              <w:rPr>
                <w:rFonts w:ascii="Arial" w:hAnsi="Arial" w:cs="Arial"/>
              </w:rPr>
            </w:pPr>
            <w:r w:rsidRPr="00D81899">
              <w:rPr>
                <w:rFonts w:ascii="Arial" w:hAnsi="Arial" w:cs="Arial"/>
                <w:b/>
                <w:bCs/>
              </w:rPr>
              <w:t>Governance Type</w:t>
            </w:r>
          </w:p>
        </w:tc>
        <w:tc>
          <w:tcPr>
            <w:tcW w:w="6611" w:type="dxa"/>
            <w:tcBorders>
              <w:bottom w:val="single" w:sz="4" w:space="0" w:color="auto"/>
            </w:tcBorders>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Officer Governance</w:t>
            </w:r>
          </w:p>
          <w:p w:rsidR="008E2CFD" w:rsidRPr="0016049C" w:rsidRDefault="008E2CFD" w:rsidP="0016049C">
            <w:pPr>
              <w:jc w:val="both"/>
              <w:rPr>
                <w:rFonts w:ascii="Arial" w:hAnsi="Arial" w:cs="Arial"/>
              </w:rPr>
            </w:pPr>
          </w:p>
        </w:tc>
      </w:tr>
      <w:tr w:rsidR="008E2CFD" w:rsidTr="00DB4DD8">
        <w:tc>
          <w:tcPr>
            <w:tcW w:w="2405" w:type="dxa"/>
            <w:tcBorders>
              <w:bottom w:val="nil"/>
            </w:tcBorders>
          </w:tcPr>
          <w:p w:rsidR="008E2CFD" w:rsidRPr="00D81899" w:rsidRDefault="008E2CFD" w:rsidP="00F8443B">
            <w:pPr>
              <w:autoSpaceDE w:val="0"/>
              <w:autoSpaceDN w:val="0"/>
              <w:adjustRightInd w:val="0"/>
              <w:rPr>
                <w:rFonts w:ascii="Arial" w:hAnsi="Arial" w:cs="Arial"/>
              </w:rPr>
            </w:pPr>
            <w:r w:rsidRPr="00D81899">
              <w:rPr>
                <w:rFonts w:ascii="Arial" w:hAnsi="Arial" w:cs="Arial"/>
                <w:b/>
                <w:bCs/>
              </w:rPr>
              <w:t>Purpose</w:t>
            </w:r>
          </w:p>
        </w:tc>
        <w:tc>
          <w:tcPr>
            <w:tcW w:w="6611" w:type="dxa"/>
            <w:tcBorders>
              <w:bottom w:val="nil"/>
            </w:tcBorders>
          </w:tcPr>
          <w:p w:rsidR="008E2CFD" w:rsidRPr="0016049C" w:rsidRDefault="008E2CFD" w:rsidP="0016049C">
            <w:pPr>
              <w:jc w:val="both"/>
              <w:rPr>
                <w:rFonts w:ascii="Arial" w:hAnsi="Arial" w:cs="Arial"/>
              </w:rPr>
            </w:pPr>
            <w:r w:rsidRPr="0016049C">
              <w:rPr>
                <w:rFonts w:ascii="Arial" w:hAnsi="Arial" w:cs="Arial"/>
              </w:rPr>
              <w:t xml:space="preserve">Related to </w:t>
            </w:r>
            <w:r w:rsidR="002905BE">
              <w:rPr>
                <w:rFonts w:ascii="Arial" w:hAnsi="Arial" w:cs="Arial"/>
              </w:rPr>
              <w:t xml:space="preserve">and within </w:t>
            </w:r>
            <w:r w:rsidRPr="0016049C">
              <w:rPr>
                <w:rFonts w:ascii="Arial" w:hAnsi="Arial" w:cs="Arial"/>
              </w:rPr>
              <w:t>the</w:t>
            </w:r>
            <w:r w:rsidR="002905BE">
              <w:rPr>
                <w:rFonts w:ascii="Arial" w:hAnsi="Arial" w:cs="Arial"/>
              </w:rPr>
              <w:t xml:space="preserve"> remit of the</w:t>
            </w:r>
            <w:r w:rsidRPr="0016049C">
              <w:rPr>
                <w:rFonts w:ascii="Arial" w:hAnsi="Arial" w:cs="Arial"/>
              </w:rPr>
              <w:t xml:space="preserve"> CCRCD Wider Investment Fund</w:t>
            </w:r>
            <w:r w:rsidR="00D1449D">
              <w:rPr>
                <w:rFonts w:ascii="Arial" w:hAnsi="Arial" w:cs="Arial"/>
              </w:rPr>
              <w:t xml:space="preserve"> </w:t>
            </w:r>
            <w:r w:rsidRPr="0016049C">
              <w:rPr>
                <w:rFonts w:ascii="Arial" w:hAnsi="Arial" w:cs="Arial"/>
              </w:rPr>
              <w:t xml:space="preserve">the Programme Board will have </w:t>
            </w:r>
            <w:r w:rsidR="007D588D">
              <w:rPr>
                <w:rFonts w:ascii="Arial" w:hAnsi="Arial" w:cs="Arial"/>
              </w:rPr>
              <w:t xml:space="preserve">four </w:t>
            </w:r>
            <w:r w:rsidRPr="0016049C">
              <w:rPr>
                <w:rFonts w:ascii="Arial" w:hAnsi="Arial" w:cs="Arial"/>
              </w:rPr>
              <w:t>distinct roles:</w:t>
            </w:r>
          </w:p>
          <w:p w:rsidR="008E2CFD" w:rsidRPr="0016049C" w:rsidRDefault="008E2CFD" w:rsidP="0016049C">
            <w:pPr>
              <w:jc w:val="both"/>
              <w:rPr>
                <w:rFonts w:ascii="Arial" w:hAnsi="Arial" w:cs="Arial"/>
              </w:rPr>
            </w:pPr>
          </w:p>
          <w:p w:rsidR="008E2CFD" w:rsidRPr="0016049C" w:rsidRDefault="008E2CFD" w:rsidP="0016049C">
            <w:pPr>
              <w:numPr>
                <w:ilvl w:val="0"/>
                <w:numId w:val="18"/>
              </w:numPr>
              <w:jc w:val="both"/>
              <w:rPr>
                <w:rFonts w:ascii="Arial" w:hAnsi="Arial" w:cs="Arial"/>
              </w:rPr>
            </w:pPr>
            <w:r w:rsidRPr="0016049C">
              <w:rPr>
                <w:rFonts w:ascii="Arial" w:hAnsi="Arial" w:cs="Arial"/>
              </w:rPr>
              <w:t xml:space="preserve">      Providing Portfolio support by:</w:t>
            </w:r>
          </w:p>
          <w:p w:rsidR="008E2CFD" w:rsidRPr="0016049C" w:rsidRDefault="008E2CFD" w:rsidP="0016049C">
            <w:pPr>
              <w:numPr>
                <w:ilvl w:val="0"/>
                <w:numId w:val="16"/>
              </w:numPr>
              <w:ind w:left="714" w:hanging="357"/>
              <w:jc w:val="both"/>
              <w:rPr>
                <w:rFonts w:ascii="Arial" w:hAnsi="Arial" w:cs="Arial"/>
              </w:rPr>
            </w:pPr>
            <w:r w:rsidRPr="0016049C">
              <w:rPr>
                <w:rFonts w:ascii="Arial" w:hAnsi="Arial" w:cs="Arial"/>
              </w:rPr>
              <w:t>appointing Theme Leads, from their membership, to support the Portfolio Leads and Portfolio Officers established by the Joint Committee;</w:t>
            </w:r>
          </w:p>
          <w:p w:rsidR="008E2CFD" w:rsidRPr="0016049C" w:rsidRDefault="008E2CFD" w:rsidP="0016049C">
            <w:pPr>
              <w:numPr>
                <w:ilvl w:val="0"/>
                <w:numId w:val="16"/>
              </w:numPr>
              <w:ind w:left="714" w:hanging="357"/>
              <w:jc w:val="both"/>
              <w:rPr>
                <w:rFonts w:ascii="Arial" w:hAnsi="Arial" w:cs="Arial"/>
              </w:rPr>
            </w:pPr>
            <w:r w:rsidRPr="0016049C">
              <w:rPr>
                <w:rFonts w:ascii="Arial" w:hAnsi="Arial" w:cs="Arial"/>
              </w:rPr>
              <w:t>under each Theme establish a Strategic Regional Group and, as required, Task &amp; Finish Groups to develop CCRCD Wider Investment Fund proposals;</w:t>
            </w:r>
          </w:p>
          <w:p w:rsidR="008E2CFD" w:rsidRPr="0016049C" w:rsidRDefault="008E2CFD" w:rsidP="0016049C">
            <w:pPr>
              <w:numPr>
                <w:ilvl w:val="0"/>
                <w:numId w:val="16"/>
              </w:numPr>
              <w:ind w:left="714" w:hanging="357"/>
              <w:jc w:val="both"/>
              <w:rPr>
                <w:rFonts w:ascii="Arial" w:hAnsi="Arial" w:cs="Arial"/>
              </w:rPr>
            </w:pPr>
            <w:r w:rsidRPr="0016049C">
              <w:rPr>
                <w:rFonts w:ascii="Arial" w:hAnsi="Arial" w:cs="Arial"/>
              </w:rPr>
              <w:t>under each Theme develop a series of Candidate Schemes for assessment under the CCRCD Candidate Scheme Appraisal Framework;</w:t>
            </w:r>
          </w:p>
          <w:p w:rsidR="008E2CFD" w:rsidRPr="0016049C" w:rsidRDefault="008E2CFD" w:rsidP="0016049C">
            <w:pPr>
              <w:numPr>
                <w:ilvl w:val="0"/>
                <w:numId w:val="16"/>
              </w:numPr>
              <w:ind w:left="714" w:hanging="357"/>
              <w:jc w:val="both"/>
              <w:rPr>
                <w:rFonts w:ascii="Arial" w:hAnsi="Arial" w:cs="Arial"/>
              </w:rPr>
            </w:pPr>
            <w:proofErr w:type="gramStart"/>
            <w:r w:rsidRPr="0016049C">
              <w:rPr>
                <w:rFonts w:ascii="Arial" w:hAnsi="Arial" w:cs="Arial"/>
              </w:rPr>
              <w:t>advise</w:t>
            </w:r>
            <w:proofErr w:type="gramEnd"/>
            <w:r w:rsidRPr="0016049C">
              <w:rPr>
                <w:rFonts w:ascii="Arial" w:hAnsi="Arial" w:cs="Arial"/>
              </w:rPr>
              <w:t xml:space="preserve"> on the strategic direction for the portfolio area and assist in the development of a portfolio work programme to drive forward delivery.</w:t>
            </w:r>
          </w:p>
          <w:p w:rsidR="009E11FF" w:rsidRPr="0016049C" w:rsidRDefault="009E11FF" w:rsidP="004B73EA">
            <w:pPr>
              <w:jc w:val="both"/>
              <w:rPr>
                <w:rFonts w:ascii="Arial" w:hAnsi="Arial" w:cs="Arial"/>
              </w:rPr>
            </w:pPr>
          </w:p>
          <w:p w:rsidR="008E2CFD" w:rsidRPr="0016049C" w:rsidRDefault="008E2CFD" w:rsidP="007E65DB">
            <w:pPr>
              <w:jc w:val="both"/>
              <w:rPr>
                <w:rFonts w:ascii="Arial" w:hAnsi="Arial" w:cs="Arial"/>
              </w:rPr>
            </w:pPr>
            <w:r w:rsidRPr="0016049C">
              <w:rPr>
                <w:rFonts w:ascii="Arial" w:hAnsi="Arial" w:cs="Arial"/>
              </w:rPr>
              <w:t>P2.      Monitor Portfolio development by:</w:t>
            </w:r>
          </w:p>
          <w:p w:rsidR="008E2CFD" w:rsidRPr="0016049C" w:rsidRDefault="008E2CFD" w:rsidP="0016049C">
            <w:pPr>
              <w:numPr>
                <w:ilvl w:val="0"/>
                <w:numId w:val="17"/>
              </w:numPr>
              <w:ind w:left="714" w:hanging="357"/>
              <w:jc w:val="both"/>
              <w:rPr>
                <w:rFonts w:ascii="Arial" w:hAnsi="Arial" w:cs="Arial"/>
              </w:rPr>
            </w:pPr>
            <w:r w:rsidRPr="0016049C">
              <w:rPr>
                <w:rFonts w:ascii="Arial" w:hAnsi="Arial" w:cs="Arial"/>
              </w:rPr>
              <w:t>providing support and collective challenge to the Portfolios and Themes including the Strategic Regional Groups and Task &amp; Finish Groups, to ensure their work progresses the development of proposals in line with the CCRCD vision and objectives;</w:t>
            </w:r>
          </w:p>
          <w:p w:rsidR="008E2CFD" w:rsidRPr="0016049C" w:rsidRDefault="008E2CFD" w:rsidP="0016049C">
            <w:pPr>
              <w:numPr>
                <w:ilvl w:val="0"/>
                <w:numId w:val="17"/>
              </w:numPr>
              <w:ind w:left="714" w:hanging="357"/>
              <w:jc w:val="both"/>
              <w:rPr>
                <w:rFonts w:ascii="Arial" w:hAnsi="Arial" w:cs="Arial"/>
              </w:rPr>
            </w:pPr>
            <w:r w:rsidRPr="0016049C">
              <w:rPr>
                <w:rFonts w:ascii="Arial" w:hAnsi="Arial" w:cs="Arial"/>
              </w:rPr>
              <w:t>oversight of performance and delivery of the portfolios</w:t>
            </w:r>
          </w:p>
          <w:p w:rsidR="008E2CFD" w:rsidRDefault="008E2CFD" w:rsidP="0016049C">
            <w:pPr>
              <w:ind w:left="714"/>
              <w:jc w:val="both"/>
              <w:rPr>
                <w:rFonts w:ascii="Arial" w:hAnsi="Arial" w:cs="Arial"/>
              </w:rPr>
            </w:pPr>
          </w:p>
          <w:p w:rsidR="00D3129B" w:rsidRPr="004865AA" w:rsidRDefault="00D3129B" w:rsidP="00D3129B">
            <w:pPr>
              <w:ind w:left="714"/>
              <w:rPr>
                <w:rFonts w:ascii="Arial" w:hAnsi="Arial" w:cs="Arial"/>
              </w:rPr>
            </w:pPr>
          </w:p>
          <w:p w:rsidR="00D3129B" w:rsidRPr="004865AA" w:rsidRDefault="00D3129B" w:rsidP="00D3129B">
            <w:pPr>
              <w:ind w:left="720" w:hanging="720"/>
              <w:rPr>
                <w:rFonts w:ascii="Arial" w:hAnsi="Arial" w:cs="Arial"/>
              </w:rPr>
            </w:pPr>
            <w:r>
              <w:rPr>
                <w:rFonts w:ascii="Arial" w:hAnsi="Arial" w:cs="Arial"/>
              </w:rPr>
              <w:t xml:space="preserve">P3.      </w:t>
            </w:r>
            <w:r w:rsidRPr="004865AA">
              <w:rPr>
                <w:rFonts w:ascii="Arial" w:hAnsi="Arial" w:cs="Arial"/>
              </w:rPr>
              <w:t>Prepare recommendations on individual Candidate Schemes and the overall programme of the CCRCD Wider I</w:t>
            </w:r>
            <w:r>
              <w:rPr>
                <w:rFonts w:ascii="Arial" w:hAnsi="Arial" w:cs="Arial"/>
              </w:rPr>
              <w:t>nvestment</w:t>
            </w:r>
            <w:r w:rsidRPr="004865AA">
              <w:rPr>
                <w:rFonts w:ascii="Arial" w:hAnsi="Arial" w:cs="Arial"/>
              </w:rPr>
              <w:t xml:space="preserve"> Fund by:</w:t>
            </w:r>
          </w:p>
          <w:p w:rsidR="00D3129B" w:rsidRPr="004865AA" w:rsidRDefault="00D3129B" w:rsidP="00D3129B">
            <w:pPr>
              <w:numPr>
                <w:ilvl w:val="0"/>
                <w:numId w:val="16"/>
              </w:numPr>
              <w:ind w:left="714" w:hanging="357"/>
              <w:jc w:val="both"/>
              <w:rPr>
                <w:rFonts w:ascii="Arial" w:hAnsi="Arial" w:cs="Arial"/>
              </w:rPr>
            </w:pPr>
            <w:r w:rsidRPr="004865AA">
              <w:rPr>
                <w:rFonts w:ascii="Arial" w:hAnsi="Arial" w:cs="Arial"/>
              </w:rPr>
              <w:t>ensuring that all Candidate Schemes are assessed in accordance with the CCR Wider Investment Fund Candidate Scheme Appraisal Framework;</w:t>
            </w:r>
          </w:p>
          <w:p w:rsidR="00D3129B" w:rsidRPr="004865AA" w:rsidRDefault="00D3129B" w:rsidP="00D3129B">
            <w:pPr>
              <w:numPr>
                <w:ilvl w:val="0"/>
                <w:numId w:val="16"/>
              </w:numPr>
              <w:ind w:left="714" w:hanging="357"/>
              <w:jc w:val="both"/>
              <w:rPr>
                <w:rFonts w:ascii="Arial" w:hAnsi="Arial" w:cs="Arial"/>
              </w:rPr>
            </w:pPr>
            <w:r w:rsidRPr="004865AA">
              <w:rPr>
                <w:rFonts w:ascii="Arial" w:hAnsi="Arial" w:cs="Arial"/>
              </w:rPr>
              <w:t>preparing recommendations on Candidate Schemes whilst ensuring due regard is given to the observations provided by the Advisory/Consultation Bodies and the independent assessment;</w:t>
            </w:r>
          </w:p>
          <w:p w:rsidR="00D3129B" w:rsidRPr="004865AA" w:rsidRDefault="00D3129B" w:rsidP="00D3129B">
            <w:pPr>
              <w:numPr>
                <w:ilvl w:val="0"/>
                <w:numId w:val="16"/>
              </w:numPr>
              <w:ind w:left="714" w:hanging="357"/>
              <w:jc w:val="both"/>
              <w:rPr>
                <w:rFonts w:ascii="Arial" w:hAnsi="Arial" w:cs="Arial"/>
              </w:rPr>
            </w:pPr>
            <w:r w:rsidRPr="004865AA">
              <w:rPr>
                <w:rFonts w:ascii="Arial" w:hAnsi="Arial" w:cs="Arial"/>
              </w:rPr>
              <w:t xml:space="preserve">providing recommendations to the </w:t>
            </w:r>
            <w:r>
              <w:rPr>
                <w:rFonts w:ascii="Arial" w:hAnsi="Arial" w:cs="Arial"/>
              </w:rPr>
              <w:t>Regional Cabinet</w:t>
            </w:r>
            <w:r w:rsidRPr="004865AA">
              <w:rPr>
                <w:rFonts w:ascii="Arial" w:hAnsi="Arial" w:cs="Arial"/>
              </w:rPr>
              <w:t xml:space="preserve"> on all Candidate Schemes;</w:t>
            </w:r>
          </w:p>
          <w:p w:rsidR="00D3129B" w:rsidRPr="004865AA" w:rsidRDefault="00D3129B" w:rsidP="00D3129B">
            <w:pPr>
              <w:numPr>
                <w:ilvl w:val="0"/>
                <w:numId w:val="16"/>
              </w:numPr>
              <w:ind w:left="714" w:hanging="357"/>
              <w:jc w:val="both"/>
              <w:rPr>
                <w:rFonts w:ascii="Arial" w:hAnsi="Arial" w:cs="Arial"/>
              </w:rPr>
            </w:pPr>
            <w:r w:rsidRPr="004865AA">
              <w:rPr>
                <w:rFonts w:ascii="Arial" w:hAnsi="Arial" w:cs="Arial"/>
              </w:rPr>
              <w:t>considering the CCR Wider Investment Fund programme of schemes as a whole to ensure they work effectively together to maximise outcomes by assessing 'total impact' and not just economic considerations;</w:t>
            </w:r>
          </w:p>
          <w:p w:rsidR="00D3129B" w:rsidRPr="004865AA" w:rsidRDefault="00D3129B" w:rsidP="00D3129B">
            <w:pPr>
              <w:numPr>
                <w:ilvl w:val="0"/>
                <w:numId w:val="16"/>
              </w:numPr>
              <w:ind w:left="714" w:hanging="357"/>
              <w:jc w:val="both"/>
              <w:rPr>
                <w:rFonts w:ascii="Arial" w:hAnsi="Arial" w:cs="Arial"/>
              </w:rPr>
            </w:pPr>
            <w:proofErr w:type="gramStart"/>
            <w:r w:rsidRPr="004865AA">
              <w:rPr>
                <w:rFonts w:ascii="Arial" w:hAnsi="Arial" w:cs="Arial"/>
              </w:rPr>
              <w:t>providing</w:t>
            </w:r>
            <w:proofErr w:type="gramEnd"/>
            <w:r w:rsidRPr="004865AA">
              <w:rPr>
                <w:rFonts w:ascii="Arial" w:hAnsi="Arial" w:cs="Arial"/>
              </w:rPr>
              <w:t xml:space="preserve"> recommendations to the </w:t>
            </w:r>
            <w:r>
              <w:rPr>
                <w:rFonts w:ascii="Arial" w:hAnsi="Arial" w:cs="Arial"/>
              </w:rPr>
              <w:t>Regional Cabinet</w:t>
            </w:r>
            <w:r w:rsidRPr="004865AA">
              <w:rPr>
                <w:rFonts w:ascii="Arial" w:hAnsi="Arial" w:cs="Arial"/>
              </w:rPr>
              <w:t xml:space="preserve"> on CCRCD Wider Investment Fund programme as a whole.</w:t>
            </w:r>
          </w:p>
          <w:p w:rsidR="009E11FF" w:rsidRPr="0016049C" w:rsidRDefault="009E11FF" w:rsidP="0016049C">
            <w:pPr>
              <w:autoSpaceDE w:val="0"/>
              <w:autoSpaceDN w:val="0"/>
              <w:adjustRightInd w:val="0"/>
              <w:jc w:val="both"/>
              <w:rPr>
                <w:rFonts w:ascii="Arial" w:hAnsi="Arial" w:cs="Arial"/>
              </w:rPr>
            </w:pPr>
          </w:p>
        </w:tc>
      </w:tr>
      <w:tr w:rsidR="00D1449D" w:rsidTr="004B73EA">
        <w:tc>
          <w:tcPr>
            <w:tcW w:w="2405" w:type="dxa"/>
            <w:tcBorders>
              <w:top w:val="nil"/>
              <w:bottom w:val="single" w:sz="4" w:space="0" w:color="FFFFFF" w:themeColor="background1"/>
            </w:tcBorders>
          </w:tcPr>
          <w:p w:rsidR="00D1449D" w:rsidRPr="00D81899" w:rsidRDefault="00D1449D" w:rsidP="00F8443B">
            <w:pPr>
              <w:autoSpaceDE w:val="0"/>
              <w:autoSpaceDN w:val="0"/>
              <w:adjustRightInd w:val="0"/>
              <w:rPr>
                <w:rFonts w:ascii="Arial" w:hAnsi="Arial" w:cs="Arial"/>
                <w:b/>
                <w:bCs/>
              </w:rPr>
            </w:pPr>
          </w:p>
        </w:tc>
        <w:tc>
          <w:tcPr>
            <w:tcW w:w="6611" w:type="dxa"/>
            <w:tcBorders>
              <w:top w:val="nil"/>
              <w:bottom w:val="single" w:sz="4" w:space="0" w:color="FFFFFF" w:themeColor="background1"/>
            </w:tcBorders>
          </w:tcPr>
          <w:p w:rsidR="00F63D16" w:rsidRPr="0016049C" w:rsidRDefault="00D1449D" w:rsidP="004B73EA">
            <w:pPr>
              <w:autoSpaceDE w:val="0"/>
              <w:autoSpaceDN w:val="0"/>
              <w:adjustRightInd w:val="0"/>
              <w:jc w:val="both"/>
              <w:rPr>
                <w:rFonts w:ascii="Arial" w:hAnsi="Arial" w:cs="Arial"/>
              </w:rPr>
            </w:pPr>
            <w:r>
              <w:rPr>
                <w:rFonts w:ascii="Arial" w:hAnsi="Arial" w:cs="Arial"/>
              </w:rPr>
              <w:t>Related to and within the remit of the delegated authority granted to the Joi</w:t>
            </w:r>
            <w:r w:rsidR="00F63D16">
              <w:rPr>
                <w:rFonts w:ascii="Arial" w:hAnsi="Arial" w:cs="Arial"/>
              </w:rPr>
              <w:t>n</w:t>
            </w:r>
            <w:r>
              <w:rPr>
                <w:rFonts w:ascii="Arial" w:hAnsi="Arial" w:cs="Arial"/>
              </w:rPr>
              <w:t>t Cabinet in respect of the City Deal:</w:t>
            </w:r>
          </w:p>
        </w:tc>
      </w:tr>
      <w:tr w:rsidR="008E2CFD" w:rsidTr="004B73EA">
        <w:tc>
          <w:tcPr>
            <w:tcW w:w="2405" w:type="dxa"/>
            <w:tcBorders>
              <w:top w:val="single" w:sz="4" w:space="0" w:color="FFFFFF" w:themeColor="background1"/>
              <w:bottom w:val="single" w:sz="4" w:space="0" w:color="auto"/>
            </w:tcBorders>
          </w:tcPr>
          <w:p w:rsidR="008E2CFD" w:rsidRPr="00D81899" w:rsidRDefault="008E2CFD" w:rsidP="00F8443B">
            <w:pPr>
              <w:autoSpaceDE w:val="0"/>
              <w:autoSpaceDN w:val="0"/>
              <w:adjustRightInd w:val="0"/>
              <w:rPr>
                <w:rFonts w:ascii="Arial" w:hAnsi="Arial" w:cs="Arial"/>
                <w:b/>
                <w:bCs/>
              </w:rPr>
            </w:pPr>
          </w:p>
        </w:tc>
        <w:tc>
          <w:tcPr>
            <w:tcW w:w="6611" w:type="dxa"/>
            <w:tcBorders>
              <w:top w:val="single" w:sz="4" w:space="0" w:color="FFFFFF" w:themeColor="background1"/>
              <w:bottom w:val="single" w:sz="4" w:space="0" w:color="auto"/>
            </w:tcBorders>
          </w:tcPr>
          <w:p w:rsidR="004B73EA" w:rsidRDefault="004B73EA" w:rsidP="004B73EA">
            <w:pPr>
              <w:autoSpaceDE w:val="0"/>
              <w:autoSpaceDN w:val="0"/>
              <w:adjustRightInd w:val="0"/>
              <w:jc w:val="both"/>
              <w:rPr>
                <w:rFonts w:ascii="Arial" w:hAnsi="Arial" w:cs="Arial"/>
              </w:rPr>
            </w:pPr>
          </w:p>
          <w:p w:rsidR="004B73EA" w:rsidRPr="004B73EA" w:rsidRDefault="004B73EA" w:rsidP="004B73EA">
            <w:pPr>
              <w:autoSpaceDE w:val="0"/>
              <w:autoSpaceDN w:val="0"/>
              <w:adjustRightInd w:val="0"/>
              <w:jc w:val="both"/>
              <w:rPr>
                <w:rFonts w:ascii="Arial" w:hAnsi="Arial" w:cs="Arial"/>
              </w:rPr>
            </w:pPr>
          </w:p>
        </w:tc>
      </w:tr>
      <w:tr w:rsidR="004B73EA" w:rsidTr="004B73EA">
        <w:tc>
          <w:tcPr>
            <w:tcW w:w="2405" w:type="dxa"/>
            <w:tcBorders>
              <w:top w:val="single" w:sz="4" w:space="0" w:color="auto"/>
            </w:tcBorders>
          </w:tcPr>
          <w:p w:rsidR="004B73EA" w:rsidRPr="00D81899" w:rsidRDefault="004B73EA" w:rsidP="00F8443B">
            <w:pPr>
              <w:rPr>
                <w:rFonts w:ascii="Arial" w:hAnsi="Arial" w:cs="Arial"/>
                <w:b/>
                <w:bCs/>
              </w:rPr>
            </w:pPr>
          </w:p>
        </w:tc>
        <w:tc>
          <w:tcPr>
            <w:tcW w:w="6611" w:type="dxa"/>
            <w:tcBorders>
              <w:top w:val="single" w:sz="4" w:space="0" w:color="auto"/>
            </w:tcBorders>
          </w:tcPr>
          <w:p w:rsidR="004B73EA" w:rsidRDefault="004B73EA" w:rsidP="004B73EA">
            <w:pPr>
              <w:autoSpaceDE w:val="0"/>
              <w:autoSpaceDN w:val="0"/>
              <w:adjustRightInd w:val="0"/>
              <w:ind w:left="720" w:hanging="720"/>
              <w:jc w:val="both"/>
              <w:rPr>
                <w:rFonts w:ascii="Arial" w:hAnsi="Arial" w:cs="Arial"/>
              </w:rPr>
            </w:pPr>
          </w:p>
          <w:p w:rsidR="004B73EA" w:rsidRPr="0016049C" w:rsidRDefault="004B73EA" w:rsidP="004B73EA">
            <w:pPr>
              <w:autoSpaceDE w:val="0"/>
              <w:autoSpaceDN w:val="0"/>
              <w:adjustRightInd w:val="0"/>
              <w:ind w:left="720" w:hanging="720"/>
              <w:jc w:val="both"/>
              <w:rPr>
                <w:rFonts w:ascii="Arial" w:hAnsi="Arial" w:cs="Arial"/>
              </w:rPr>
            </w:pPr>
            <w:r w:rsidRPr="0016049C">
              <w:rPr>
                <w:rFonts w:ascii="Arial" w:hAnsi="Arial" w:cs="Arial"/>
              </w:rPr>
              <w:t xml:space="preserve">P4.    </w:t>
            </w:r>
            <w:r>
              <w:rPr>
                <w:rFonts w:ascii="Arial" w:hAnsi="Arial" w:cs="Arial"/>
              </w:rPr>
              <w:t xml:space="preserve">To work on </w:t>
            </w:r>
            <w:r w:rsidRPr="0016049C">
              <w:rPr>
                <w:rFonts w:ascii="Arial" w:hAnsi="Arial" w:cs="Arial"/>
              </w:rPr>
              <w:t xml:space="preserve">a regional basis to improve public services especially in the areas of: </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Economic Development;</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Transportation;</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Regeneration and Housing;</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Business Support;</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Skills; and</w:t>
            </w:r>
          </w:p>
          <w:p w:rsidR="004B73EA" w:rsidRPr="0016049C" w:rsidRDefault="004B73EA" w:rsidP="004B73EA">
            <w:pPr>
              <w:pStyle w:val="ListParagraph"/>
              <w:numPr>
                <w:ilvl w:val="0"/>
                <w:numId w:val="14"/>
              </w:numPr>
              <w:autoSpaceDE w:val="0"/>
              <w:autoSpaceDN w:val="0"/>
              <w:adjustRightInd w:val="0"/>
              <w:jc w:val="both"/>
              <w:rPr>
                <w:rFonts w:ascii="Arial" w:hAnsi="Arial" w:cs="Arial"/>
              </w:rPr>
            </w:pPr>
            <w:r w:rsidRPr="0016049C">
              <w:rPr>
                <w:rFonts w:ascii="Arial" w:hAnsi="Arial" w:cs="Arial"/>
              </w:rPr>
              <w:t>Planning.</w:t>
            </w:r>
          </w:p>
          <w:p w:rsidR="004B73EA" w:rsidRPr="0016049C" w:rsidRDefault="004B73EA" w:rsidP="0016049C">
            <w:pPr>
              <w:autoSpaceDE w:val="0"/>
              <w:autoSpaceDN w:val="0"/>
              <w:adjustRightInd w:val="0"/>
              <w:jc w:val="both"/>
              <w:rPr>
                <w:rFonts w:ascii="Arial" w:hAnsi="Arial" w:cs="Arial"/>
              </w:rPr>
            </w:pPr>
          </w:p>
        </w:tc>
      </w:tr>
      <w:tr w:rsidR="008E2CFD" w:rsidTr="00F8443B">
        <w:tc>
          <w:tcPr>
            <w:tcW w:w="2405" w:type="dxa"/>
          </w:tcPr>
          <w:p w:rsidR="008E2CFD" w:rsidRPr="00D81899" w:rsidRDefault="008E2CFD" w:rsidP="00F8443B">
            <w:pPr>
              <w:rPr>
                <w:rFonts w:ascii="Arial" w:hAnsi="Arial" w:cs="Arial"/>
              </w:rPr>
            </w:pPr>
            <w:r w:rsidRPr="00D81899">
              <w:rPr>
                <w:rFonts w:ascii="Arial" w:hAnsi="Arial" w:cs="Arial"/>
                <w:b/>
                <w:bCs/>
              </w:rPr>
              <w:t>Accountable to</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Regional Cabinet via the City Deal Regional Office.</w:t>
            </w:r>
          </w:p>
          <w:p w:rsidR="008E2CFD" w:rsidRPr="0016049C" w:rsidRDefault="008E2CFD" w:rsidP="0016049C">
            <w:pPr>
              <w:jc w:val="both"/>
              <w:rPr>
                <w:rFonts w:ascii="Arial" w:hAnsi="Arial" w:cs="Arial"/>
              </w:rPr>
            </w:pPr>
          </w:p>
        </w:tc>
      </w:tr>
      <w:tr w:rsidR="008E2CFD" w:rsidTr="00F8443B">
        <w:tc>
          <w:tcPr>
            <w:tcW w:w="2405" w:type="dxa"/>
          </w:tcPr>
          <w:p w:rsidR="008E2CFD" w:rsidRPr="00D81899" w:rsidRDefault="008E2CFD" w:rsidP="00F8443B">
            <w:pPr>
              <w:rPr>
                <w:rFonts w:ascii="Arial" w:hAnsi="Arial" w:cs="Arial"/>
                <w:b/>
                <w:bCs/>
              </w:rPr>
            </w:pPr>
            <w:r>
              <w:rPr>
                <w:rFonts w:ascii="Arial" w:hAnsi="Arial" w:cs="Arial"/>
                <w:b/>
                <w:bCs/>
              </w:rPr>
              <w:t>Reporting</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All reports prepared by the Board, or members of the Board, pertaining to City Deal and regional or sub-regional matters, once approved by the Board will be submitted ‘as draft’ to the Regional Office to seek approval of the Regional Cabinet or, if appropriate, one of its sub-committees.</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Borders>
              <w:bottom w:val="single" w:sz="4" w:space="0" w:color="FFFFFF" w:themeColor="background1"/>
            </w:tcBorders>
          </w:tcPr>
          <w:p w:rsidR="008E2CFD" w:rsidRPr="00D81899" w:rsidRDefault="008E2CFD" w:rsidP="00F8443B">
            <w:pPr>
              <w:rPr>
                <w:rFonts w:ascii="Arial" w:hAnsi="Arial" w:cs="Arial"/>
              </w:rPr>
            </w:pPr>
            <w:r w:rsidRPr="00D81899">
              <w:rPr>
                <w:rFonts w:ascii="Arial" w:hAnsi="Arial" w:cs="Arial"/>
                <w:b/>
                <w:bCs/>
              </w:rPr>
              <w:t>Membership</w:t>
            </w:r>
          </w:p>
        </w:tc>
        <w:tc>
          <w:tcPr>
            <w:tcW w:w="6611" w:type="dxa"/>
            <w:tcBorders>
              <w:bottom w:val="single" w:sz="4" w:space="0" w:color="FFFFFF" w:themeColor="background1"/>
            </w:tcBorders>
          </w:tcPr>
          <w:p w:rsidR="008E2CFD" w:rsidRPr="0016049C" w:rsidRDefault="008E2CFD" w:rsidP="0016049C">
            <w:pPr>
              <w:jc w:val="both"/>
              <w:rPr>
                <w:rFonts w:ascii="Arial" w:eastAsiaTheme="majorEastAsia" w:hAnsi="Arial" w:cs="Arial"/>
              </w:rPr>
            </w:pPr>
            <w:r w:rsidRPr="0016049C">
              <w:rPr>
                <w:rFonts w:ascii="Arial" w:eastAsiaTheme="majorEastAsia" w:hAnsi="Arial" w:cs="Arial"/>
              </w:rPr>
              <w:t>The CCR Programme Board membership will consist of the:</w:t>
            </w:r>
          </w:p>
          <w:p w:rsidR="008E2CFD" w:rsidRPr="0016049C" w:rsidRDefault="008E2CFD" w:rsidP="0016049C">
            <w:pPr>
              <w:pStyle w:val="ListParagraph"/>
              <w:numPr>
                <w:ilvl w:val="0"/>
                <w:numId w:val="15"/>
              </w:numPr>
              <w:jc w:val="both"/>
              <w:rPr>
                <w:rFonts w:ascii="Arial" w:eastAsiaTheme="majorEastAsia" w:hAnsi="Arial" w:cs="Arial"/>
              </w:rPr>
            </w:pPr>
            <w:r w:rsidRPr="0016049C">
              <w:rPr>
                <w:rFonts w:ascii="Arial" w:eastAsiaTheme="majorEastAsia" w:hAnsi="Arial" w:cs="Arial"/>
              </w:rPr>
              <w:t>City Deal Programme Director;</w:t>
            </w:r>
          </w:p>
          <w:p w:rsidR="008E2CFD" w:rsidRPr="0016049C" w:rsidRDefault="008E2CFD" w:rsidP="0016049C">
            <w:pPr>
              <w:pStyle w:val="ListParagraph"/>
              <w:numPr>
                <w:ilvl w:val="0"/>
                <w:numId w:val="15"/>
              </w:numPr>
              <w:jc w:val="both"/>
              <w:rPr>
                <w:rFonts w:ascii="Arial" w:eastAsiaTheme="majorEastAsia" w:hAnsi="Arial" w:cs="Arial"/>
              </w:rPr>
            </w:pPr>
            <w:r w:rsidRPr="0016049C">
              <w:rPr>
                <w:rFonts w:ascii="Arial" w:eastAsiaTheme="majorEastAsia" w:hAnsi="Arial" w:cs="Arial"/>
              </w:rPr>
              <w:t>City Deal Programme Manager;</w:t>
            </w:r>
          </w:p>
          <w:p w:rsidR="008E2CFD" w:rsidRPr="0016049C" w:rsidRDefault="008E2CFD" w:rsidP="0016049C">
            <w:pPr>
              <w:pStyle w:val="ListParagraph"/>
              <w:numPr>
                <w:ilvl w:val="0"/>
                <w:numId w:val="15"/>
              </w:numPr>
              <w:jc w:val="both"/>
              <w:rPr>
                <w:rFonts w:ascii="Arial" w:eastAsiaTheme="majorEastAsia" w:hAnsi="Arial" w:cs="Arial"/>
              </w:rPr>
            </w:pPr>
            <w:r w:rsidRPr="0016049C">
              <w:rPr>
                <w:rFonts w:ascii="Arial" w:eastAsiaTheme="majorEastAsia" w:hAnsi="Arial" w:cs="Arial"/>
              </w:rPr>
              <w:t>Strategic Directors, or equivalent, from each constituent authority;</w:t>
            </w:r>
          </w:p>
          <w:p w:rsidR="008E2CFD" w:rsidRPr="0016049C" w:rsidRDefault="008E2CFD" w:rsidP="0016049C">
            <w:pPr>
              <w:pStyle w:val="ListParagraph"/>
              <w:numPr>
                <w:ilvl w:val="0"/>
                <w:numId w:val="15"/>
              </w:numPr>
              <w:jc w:val="both"/>
              <w:rPr>
                <w:rFonts w:ascii="Arial" w:eastAsiaTheme="majorEastAsia" w:hAnsi="Arial" w:cs="Arial"/>
              </w:rPr>
            </w:pPr>
            <w:r w:rsidRPr="0016049C">
              <w:rPr>
                <w:rFonts w:ascii="Arial" w:eastAsiaTheme="majorEastAsia" w:hAnsi="Arial" w:cs="Arial"/>
              </w:rPr>
              <w:t>Specialist Officers, and;</w:t>
            </w:r>
          </w:p>
          <w:p w:rsidR="008E2CFD" w:rsidRPr="0016049C" w:rsidRDefault="008E2CFD" w:rsidP="0016049C">
            <w:pPr>
              <w:pStyle w:val="ListParagraph"/>
              <w:numPr>
                <w:ilvl w:val="0"/>
                <w:numId w:val="15"/>
              </w:numPr>
              <w:jc w:val="both"/>
              <w:rPr>
                <w:rFonts w:ascii="Arial" w:eastAsiaTheme="majorEastAsia" w:hAnsi="Arial" w:cs="Arial"/>
              </w:rPr>
            </w:pPr>
            <w:r w:rsidRPr="0016049C">
              <w:rPr>
                <w:rFonts w:ascii="Arial" w:eastAsiaTheme="majorEastAsia" w:hAnsi="Arial" w:cs="Arial"/>
              </w:rPr>
              <w:t>Legal and Financial representatives from the Accountable Body.</w:t>
            </w:r>
          </w:p>
          <w:p w:rsidR="008E2CFD" w:rsidRPr="0016049C" w:rsidRDefault="008E2CFD" w:rsidP="0016049C">
            <w:pPr>
              <w:autoSpaceDE w:val="0"/>
              <w:autoSpaceDN w:val="0"/>
              <w:adjustRightInd w:val="0"/>
              <w:jc w:val="both"/>
              <w:rPr>
                <w:rFonts w:ascii="Arial" w:hAnsi="Arial" w:cs="Arial"/>
              </w:rPr>
            </w:pPr>
          </w:p>
          <w:p w:rsidR="008E2CFD" w:rsidRPr="0016049C" w:rsidRDefault="008E2CFD" w:rsidP="0016049C">
            <w:pPr>
              <w:autoSpaceDE w:val="0"/>
              <w:autoSpaceDN w:val="0"/>
              <w:adjustRightInd w:val="0"/>
              <w:jc w:val="both"/>
              <w:rPr>
                <w:rFonts w:ascii="Arial" w:hAnsi="Arial" w:cs="Arial"/>
              </w:rPr>
            </w:pPr>
            <w:r w:rsidRPr="0016049C">
              <w:rPr>
                <w:rFonts w:ascii="Arial" w:eastAsia="Times New Roman" w:hAnsi="Arial" w:cs="Arial"/>
              </w:rPr>
              <w:t>The Chief Executives/Managing Directors, or nominated substitutes, of each of the constituent authorities will be standing invitees to the Programme Board.</w:t>
            </w:r>
          </w:p>
          <w:p w:rsidR="008E2CFD" w:rsidRPr="0016049C" w:rsidRDefault="008E2CFD" w:rsidP="0016049C">
            <w:pPr>
              <w:autoSpaceDE w:val="0"/>
              <w:autoSpaceDN w:val="0"/>
              <w:adjustRightInd w:val="0"/>
              <w:jc w:val="both"/>
              <w:rPr>
                <w:rFonts w:ascii="Arial" w:hAnsi="Arial" w:cs="Arial"/>
              </w:rPr>
            </w:pPr>
          </w:p>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Board members may make substitutions for attendance. The substitution will be reported to the CCR Regional Office, prior to the meeting, naming the substitute and stating if the attendee is to be counted as part of the quorum (see the section on Quorum below).</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Borders>
              <w:top w:val="single" w:sz="4" w:space="0" w:color="FFFFFF" w:themeColor="background1"/>
              <w:bottom w:val="single" w:sz="4" w:space="0" w:color="FFFFFF" w:themeColor="background1"/>
            </w:tcBorders>
          </w:tcPr>
          <w:p w:rsidR="008E2CFD" w:rsidRPr="00D81899" w:rsidRDefault="008E2CFD" w:rsidP="00F8443B">
            <w:pPr>
              <w:rPr>
                <w:rFonts w:ascii="Arial" w:hAnsi="Arial" w:cs="Arial"/>
                <w:b/>
                <w:bCs/>
              </w:rPr>
            </w:pPr>
          </w:p>
        </w:tc>
        <w:tc>
          <w:tcPr>
            <w:tcW w:w="6611" w:type="dxa"/>
            <w:tcBorders>
              <w:top w:val="single" w:sz="4" w:space="0" w:color="FFFFFF" w:themeColor="background1"/>
              <w:bottom w:val="single" w:sz="4" w:space="0" w:color="FFFFFF" w:themeColor="background1"/>
            </w:tcBorders>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The Board may invite persons or organisations to attend meetings, in whole or in part, to advise them on matters, as they deem appropriate.</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Borders>
              <w:bottom w:val="single" w:sz="4" w:space="0" w:color="auto"/>
            </w:tcBorders>
          </w:tcPr>
          <w:p w:rsidR="008E2CFD" w:rsidRPr="00D81899" w:rsidRDefault="008E2CFD" w:rsidP="00F8443B">
            <w:pPr>
              <w:rPr>
                <w:rFonts w:ascii="Arial" w:hAnsi="Arial" w:cs="Arial"/>
              </w:rPr>
            </w:pPr>
            <w:r w:rsidRPr="00D81899">
              <w:rPr>
                <w:rFonts w:ascii="Arial" w:hAnsi="Arial" w:cs="Arial"/>
                <w:b/>
                <w:bCs/>
              </w:rPr>
              <w:t>Chair</w:t>
            </w:r>
          </w:p>
        </w:tc>
        <w:tc>
          <w:tcPr>
            <w:tcW w:w="6611" w:type="dxa"/>
            <w:tcBorders>
              <w:bottom w:val="single" w:sz="4" w:space="0" w:color="auto"/>
            </w:tcBorders>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City Deal Programme Director.</w:t>
            </w:r>
          </w:p>
          <w:p w:rsidR="008E2CFD" w:rsidRPr="0016049C" w:rsidRDefault="008E2CFD" w:rsidP="0016049C">
            <w:pPr>
              <w:jc w:val="both"/>
              <w:rPr>
                <w:rFonts w:ascii="Arial" w:hAnsi="Arial" w:cs="Arial"/>
              </w:rPr>
            </w:pPr>
          </w:p>
        </w:tc>
      </w:tr>
      <w:tr w:rsidR="008E2CFD" w:rsidTr="00F8443B">
        <w:tc>
          <w:tcPr>
            <w:tcW w:w="2405" w:type="dxa"/>
            <w:tcBorders>
              <w:bottom w:val="single" w:sz="4" w:space="0" w:color="auto"/>
            </w:tcBorders>
          </w:tcPr>
          <w:p w:rsidR="008E2CFD" w:rsidRPr="00D81899" w:rsidRDefault="008E2CFD" w:rsidP="00F8443B">
            <w:pPr>
              <w:rPr>
                <w:rFonts w:ascii="Arial" w:hAnsi="Arial" w:cs="Arial"/>
                <w:b/>
                <w:bCs/>
              </w:rPr>
            </w:pPr>
            <w:r w:rsidRPr="00D81899">
              <w:rPr>
                <w:rFonts w:ascii="Arial" w:hAnsi="Arial" w:cs="Arial"/>
                <w:b/>
                <w:bCs/>
              </w:rPr>
              <w:t>Voting</w:t>
            </w:r>
            <w:r>
              <w:rPr>
                <w:rFonts w:ascii="Arial" w:hAnsi="Arial" w:cs="Arial"/>
                <w:b/>
                <w:bCs/>
              </w:rPr>
              <w:t>/Agreement</w:t>
            </w:r>
          </w:p>
        </w:tc>
        <w:tc>
          <w:tcPr>
            <w:tcW w:w="6611" w:type="dxa"/>
            <w:tcBorders>
              <w:bottom w:val="single" w:sz="4" w:space="0" w:color="auto"/>
            </w:tcBorders>
          </w:tcPr>
          <w:p w:rsidR="008E2CFD" w:rsidRPr="0016049C" w:rsidRDefault="00F63D16" w:rsidP="0016049C">
            <w:pPr>
              <w:autoSpaceDE w:val="0"/>
              <w:autoSpaceDN w:val="0"/>
              <w:adjustRightInd w:val="0"/>
              <w:jc w:val="both"/>
              <w:rPr>
                <w:rFonts w:ascii="Arial" w:hAnsi="Arial" w:cs="Arial"/>
              </w:rPr>
            </w:pPr>
            <w:r>
              <w:rPr>
                <w:rFonts w:ascii="Arial" w:hAnsi="Arial" w:cs="Arial"/>
              </w:rPr>
              <w:t xml:space="preserve">The Programme Board shall not have any decision making powers. </w:t>
            </w:r>
            <w:r w:rsidR="008E2CFD" w:rsidRPr="0016049C">
              <w:rPr>
                <w:rFonts w:ascii="Arial" w:hAnsi="Arial" w:cs="Arial"/>
              </w:rPr>
              <w:t>It is not envisioned that the Board will require voting arrangements, with agreement being reached by consensus.  Where alternative views and opinions are expressed these will be recorded and included in any reporting process.</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Borders>
              <w:bottom w:val="single" w:sz="4" w:space="0" w:color="auto"/>
            </w:tcBorders>
          </w:tcPr>
          <w:p w:rsidR="008E2CFD" w:rsidRPr="00D81899" w:rsidRDefault="008E2CFD" w:rsidP="00F8443B">
            <w:pPr>
              <w:rPr>
                <w:rFonts w:ascii="Arial" w:hAnsi="Arial" w:cs="Arial"/>
                <w:b/>
                <w:bCs/>
              </w:rPr>
            </w:pPr>
            <w:r>
              <w:rPr>
                <w:rFonts w:ascii="Arial" w:hAnsi="Arial" w:cs="Arial"/>
                <w:b/>
                <w:bCs/>
              </w:rPr>
              <w:t>Conflict of Interest</w:t>
            </w:r>
          </w:p>
        </w:tc>
        <w:tc>
          <w:tcPr>
            <w:tcW w:w="6611" w:type="dxa"/>
            <w:tcBorders>
              <w:bottom w:val="single" w:sz="4" w:space="0" w:color="auto"/>
            </w:tcBorders>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To allow the Programme Board to undertake all its functions a clear distinction will be drawn between those involved in specific Candidate Scheme development and those preparing recommendations on those schemes to the Joint Cabinet. A robust system of declaration of conflict of interest will be put in place.</w:t>
            </w:r>
          </w:p>
          <w:p w:rsidR="008E2CFD" w:rsidRDefault="008E2CFD" w:rsidP="0016049C">
            <w:pPr>
              <w:autoSpaceDE w:val="0"/>
              <w:autoSpaceDN w:val="0"/>
              <w:adjustRightInd w:val="0"/>
              <w:jc w:val="both"/>
              <w:rPr>
                <w:rFonts w:ascii="Arial" w:hAnsi="Arial" w:cs="Arial"/>
              </w:rPr>
            </w:pPr>
          </w:p>
          <w:p w:rsidR="004B73EA" w:rsidRPr="0016049C" w:rsidRDefault="004B73EA" w:rsidP="0016049C">
            <w:pPr>
              <w:autoSpaceDE w:val="0"/>
              <w:autoSpaceDN w:val="0"/>
              <w:adjustRightInd w:val="0"/>
              <w:jc w:val="both"/>
              <w:rPr>
                <w:rFonts w:ascii="Arial" w:hAnsi="Arial" w:cs="Arial"/>
              </w:rPr>
            </w:pPr>
          </w:p>
          <w:p w:rsidR="008E2CFD" w:rsidRPr="0016049C" w:rsidRDefault="008E2CFD" w:rsidP="0016049C">
            <w:pPr>
              <w:autoSpaceDE w:val="0"/>
              <w:autoSpaceDN w:val="0"/>
              <w:adjustRightInd w:val="0"/>
              <w:jc w:val="both"/>
              <w:rPr>
                <w:rFonts w:ascii="Arial" w:hAnsi="Arial" w:cs="Arial"/>
              </w:rPr>
            </w:pPr>
            <w:r w:rsidRPr="0016049C">
              <w:rPr>
                <w:rFonts w:ascii="Arial" w:hAnsi="Arial" w:cs="Arial"/>
              </w:rPr>
              <w:lastRenderedPageBreak/>
              <w:t>Occasions will arise where conflicts of interest preclude specific named officers and/or local authorities from taking part in discussions which will form views and recommendations on specific matters.  Members have an obligation to declare any such interests which will then be recorded.</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Pr>
          <w:p w:rsidR="008E2CFD" w:rsidRPr="00D81899" w:rsidRDefault="008E2CFD" w:rsidP="00F8443B">
            <w:pPr>
              <w:rPr>
                <w:rFonts w:ascii="Arial" w:hAnsi="Arial" w:cs="Arial"/>
                <w:b/>
                <w:bCs/>
              </w:rPr>
            </w:pPr>
            <w:r>
              <w:rPr>
                <w:rFonts w:ascii="Arial" w:hAnsi="Arial" w:cs="Arial"/>
                <w:b/>
                <w:bCs/>
              </w:rPr>
              <w:lastRenderedPageBreak/>
              <w:t>Proceedings of Meetings</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The Chair of the board will arrange for minutes of the proceedings of each meeting to be taken, approved and recorded.</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Pr>
          <w:p w:rsidR="008E2CFD" w:rsidRPr="00D81899" w:rsidRDefault="008E2CFD" w:rsidP="00F8443B">
            <w:pPr>
              <w:rPr>
                <w:rFonts w:ascii="Arial" w:hAnsi="Arial" w:cs="Arial"/>
              </w:rPr>
            </w:pPr>
            <w:r w:rsidRPr="00D81899">
              <w:rPr>
                <w:rFonts w:ascii="Arial" w:hAnsi="Arial" w:cs="Arial"/>
                <w:b/>
                <w:bCs/>
              </w:rPr>
              <w:t>Quorum</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It is important that the Board’s discussions and recommendations reflect a broad consensus from across the region.</w:t>
            </w:r>
          </w:p>
          <w:p w:rsidR="008E2CFD" w:rsidRPr="0016049C" w:rsidRDefault="008E2CFD" w:rsidP="0016049C">
            <w:pPr>
              <w:autoSpaceDE w:val="0"/>
              <w:autoSpaceDN w:val="0"/>
              <w:adjustRightInd w:val="0"/>
              <w:jc w:val="both"/>
              <w:rPr>
                <w:rFonts w:ascii="Arial" w:hAnsi="Arial" w:cs="Arial"/>
              </w:rPr>
            </w:pPr>
          </w:p>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For the Board to agree and submit recommendations constituent authorities must be represented up to a quorate equivalent to that of the Regional cabinet (see JWA).</w:t>
            </w:r>
          </w:p>
          <w:p w:rsidR="008E2CFD" w:rsidRPr="0016049C" w:rsidRDefault="008E2CFD" w:rsidP="0016049C">
            <w:pPr>
              <w:jc w:val="both"/>
              <w:rPr>
                <w:rFonts w:ascii="Arial" w:hAnsi="Arial" w:cs="Arial"/>
              </w:rPr>
            </w:pPr>
          </w:p>
        </w:tc>
      </w:tr>
      <w:tr w:rsidR="008E2CFD" w:rsidTr="00F8443B">
        <w:tc>
          <w:tcPr>
            <w:tcW w:w="2405" w:type="dxa"/>
          </w:tcPr>
          <w:p w:rsidR="008E2CFD" w:rsidRPr="00D81899" w:rsidRDefault="008E2CFD" w:rsidP="00F8443B">
            <w:pPr>
              <w:rPr>
                <w:rFonts w:ascii="Arial" w:hAnsi="Arial" w:cs="Arial"/>
              </w:rPr>
            </w:pPr>
            <w:r w:rsidRPr="00D81899">
              <w:rPr>
                <w:rFonts w:ascii="Arial" w:hAnsi="Arial" w:cs="Arial"/>
                <w:b/>
                <w:bCs/>
              </w:rPr>
              <w:t>Frequency</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The Programme Board will meet monthly or more frequently as required to complete business.</w:t>
            </w:r>
          </w:p>
          <w:p w:rsidR="008E2CFD" w:rsidRPr="0016049C" w:rsidRDefault="008E2CFD" w:rsidP="0016049C">
            <w:pPr>
              <w:jc w:val="both"/>
              <w:rPr>
                <w:rFonts w:ascii="Arial" w:hAnsi="Arial" w:cs="Arial"/>
              </w:rPr>
            </w:pPr>
          </w:p>
        </w:tc>
      </w:tr>
      <w:tr w:rsidR="008E2CFD" w:rsidTr="00F8443B">
        <w:tc>
          <w:tcPr>
            <w:tcW w:w="2405" w:type="dxa"/>
          </w:tcPr>
          <w:p w:rsidR="008E2CFD" w:rsidRPr="00D81899" w:rsidRDefault="008E2CFD" w:rsidP="00F8443B">
            <w:pPr>
              <w:rPr>
                <w:rFonts w:ascii="Arial" w:hAnsi="Arial" w:cs="Arial"/>
              </w:rPr>
            </w:pPr>
            <w:r w:rsidRPr="00D81899">
              <w:rPr>
                <w:rFonts w:ascii="Arial" w:hAnsi="Arial" w:cs="Arial"/>
                <w:b/>
                <w:bCs/>
              </w:rPr>
              <w:t>Allowances</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No allowances will be paid.</w:t>
            </w:r>
          </w:p>
          <w:p w:rsidR="008E2CFD" w:rsidRPr="0016049C" w:rsidRDefault="008E2CFD" w:rsidP="0016049C">
            <w:pPr>
              <w:jc w:val="both"/>
              <w:rPr>
                <w:rFonts w:ascii="Arial" w:hAnsi="Arial" w:cs="Arial"/>
              </w:rPr>
            </w:pPr>
          </w:p>
        </w:tc>
      </w:tr>
      <w:tr w:rsidR="008E2CFD" w:rsidTr="00F8443B">
        <w:tc>
          <w:tcPr>
            <w:tcW w:w="2405" w:type="dxa"/>
          </w:tcPr>
          <w:p w:rsidR="008E2CFD" w:rsidRPr="00D81899" w:rsidRDefault="008E2CFD" w:rsidP="00F8443B">
            <w:pPr>
              <w:rPr>
                <w:rFonts w:ascii="Arial" w:hAnsi="Arial" w:cs="Arial"/>
              </w:rPr>
            </w:pPr>
            <w:r w:rsidRPr="00D81899">
              <w:rPr>
                <w:rFonts w:ascii="Arial" w:hAnsi="Arial" w:cs="Arial"/>
                <w:b/>
                <w:bCs/>
              </w:rPr>
              <w:t>Servicing</w:t>
            </w:r>
          </w:p>
        </w:tc>
        <w:tc>
          <w:tcPr>
            <w:tcW w:w="6611" w:type="dxa"/>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The Chair of the Programme Board will organise appropriate servicing for the meetings.</w:t>
            </w:r>
          </w:p>
          <w:p w:rsidR="008E2CFD" w:rsidRPr="0016049C" w:rsidRDefault="008E2CFD" w:rsidP="0016049C">
            <w:pPr>
              <w:jc w:val="both"/>
              <w:rPr>
                <w:rFonts w:ascii="Arial" w:hAnsi="Arial" w:cs="Arial"/>
              </w:rPr>
            </w:pPr>
          </w:p>
        </w:tc>
      </w:tr>
      <w:tr w:rsidR="008E2CFD" w:rsidTr="00F8443B">
        <w:tc>
          <w:tcPr>
            <w:tcW w:w="2405" w:type="dxa"/>
            <w:tcBorders>
              <w:top w:val="single" w:sz="4" w:space="0" w:color="FFFFFF" w:themeColor="background1"/>
            </w:tcBorders>
          </w:tcPr>
          <w:p w:rsidR="008E2CFD" w:rsidRPr="00D81899" w:rsidRDefault="008E2CFD" w:rsidP="00F8443B">
            <w:pPr>
              <w:autoSpaceDE w:val="0"/>
              <w:autoSpaceDN w:val="0"/>
              <w:adjustRightInd w:val="0"/>
              <w:rPr>
                <w:rFonts w:ascii="Arial" w:hAnsi="Arial" w:cs="Arial"/>
                <w:b/>
                <w:bCs/>
              </w:rPr>
            </w:pPr>
            <w:r>
              <w:rPr>
                <w:rFonts w:ascii="Arial" w:hAnsi="Arial" w:cs="Arial"/>
                <w:b/>
                <w:bCs/>
              </w:rPr>
              <w:t>Sub-Groups</w:t>
            </w:r>
          </w:p>
        </w:tc>
        <w:tc>
          <w:tcPr>
            <w:tcW w:w="6611" w:type="dxa"/>
            <w:tcBorders>
              <w:top w:val="single" w:sz="4" w:space="0" w:color="FFFFFF" w:themeColor="background1"/>
            </w:tcBorders>
          </w:tcPr>
          <w:p w:rsidR="008E2CFD" w:rsidRPr="0016049C" w:rsidRDefault="008E2CFD" w:rsidP="0016049C">
            <w:pPr>
              <w:autoSpaceDE w:val="0"/>
              <w:autoSpaceDN w:val="0"/>
              <w:adjustRightInd w:val="0"/>
              <w:jc w:val="both"/>
              <w:rPr>
                <w:rFonts w:ascii="Arial" w:hAnsi="Arial" w:cs="Arial"/>
              </w:rPr>
            </w:pPr>
            <w:r w:rsidRPr="0016049C">
              <w:rPr>
                <w:rFonts w:ascii="Arial" w:hAnsi="Arial" w:cs="Arial"/>
              </w:rPr>
              <w:t>The Board, by agreement, can introduce sub-groups or Task &amp; Finish groups for any matters which they feel would be better dealt with in this way. These sub-groups will report to the Board with any recommendation or draft papers or reports.</w:t>
            </w:r>
          </w:p>
          <w:p w:rsidR="008E2CFD" w:rsidRPr="0016049C" w:rsidRDefault="008E2CFD" w:rsidP="0016049C">
            <w:pPr>
              <w:autoSpaceDE w:val="0"/>
              <w:autoSpaceDN w:val="0"/>
              <w:adjustRightInd w:val="0"/>
              <w:jc w:val="both"/>
              <w:rPr>
                <w:rFonts w:ascii="Arial" w:hAnsi="Arial" w:cs="Arial"/>
              </w:rPr>
            </w:pPr>
          </w:p>
        </w:tc>
      </w:tr>
      <w:tr w:rsidR="008E2CFD" w:rsidTr="00F8443B">
        <w:tc>
          <w:tcPr>
            <w:tcW w:w="2405" w:type="dxa"/>
          </w:tcPr>
          <w:p w:rsidR="008E2CFD" w:rsidRPr="00D81899" w:rsidRDefault="008E2CFD" w:rsidP="00F8443B">
            <w:pPr>
              <w:rPr>
                <w:rFonts w:ascii="Arial" w:hAnsi="Arial" w:cs="Arial"/>
                <w:b/>
                <w:bCs/>
              </w:rPr>
            </w:pPr>
            <w:r w:rsidRPr="00D81899">
              <w:rPr>
                <w:rFonts w:ascii="Arial" w:hAnsi="Arial" w:cs="Arial"/>
                <w:b/>
                <w:bCs/>
              </w:rPr>
              <w:t>Review</w:t>
            </w:r>
          </w:p>
        </w:tc>
        <w:tc>
          <w:tcPr>
            <w:tcW w:w="6611" w:type="dxa"/>
          </w:tcPr>
          <w:p w:rsidR="008E2CFD" w:rsidRPr="0016049C" w:rsidRDefault="008E2CFD" w:rsidP="0016049C">
            <w:pPr>
              <w:jc w:val="both"/>
              <w:rPr>
                <w:rFonts w:ascii="Arial" w:hAnsi="Arial" w:cs="Arial"/>
              </w:rPr>
            </w:pPr>
            <w:r w:rsidRPr="0016049C">
              <w:rPr>
                <w:rFonts w:ascii="Arial" w:hAnsi="Arial" w:cs="Arial"/>
              </w:rPr>
              <w:t>To be reviewed March 2018</w:t>
            </w:r>
          </w:p>
          <w:p w:rsidR="008E2CFD" w:rsidRPr="0016049C" w:rsidRDefault="008E2CFD" w:rsidP="0016049C">
            <w:pPr>
              <w:autoSpaceDE w:val="0"/>
              <w:autoSpaceDN w:val="0"/>
              <w:adjustRightInd w:val="0"/>
              <w:jc w:val="both"/>
              <w:rPr>
                <w:rFonts w:ascii="Arial" w:hAnsi="Arial" w:cs="Arial"/>
              </w:rPr>
            </w:pPr>
          </w:p>
        </w:tc>
      </w:tr>
    </w:tbl>
    <w:p w:rsidR="008E2CFD" w:rsidRDefault="008E2CFD" w:rsidP="008E2CFD"/>
    <w:p w:rsidR="008E2CFD" w:rsidRDefault="008E2CFD" w:rsidP="008E2CFD"/>
    <w:p w:rsidR="008E2CFD" w:rsidRPr="008E2CFD" w:rsidRDefault="008E2CFD" w:rsidP="00756FA9">
      <w:pPr>
        <w:ind w:right="-141"/>
        <w:rPr>
          <w:rFonts w:ascii="Arial" w:hAnsi="Arial" w:cs="Arial"/>
          <w:sz w:val="24"/>
          <w:szCs w:val="24"/>
        </w:rPr>
      </w:pPr>
    </w:p>
    <w:sectPr w:rsidR="008E2CFD" w:rsidRPr="008E2CFD" w:rsidSect="0024093E">
      <w:footerReference w:type="default" r:id="rId10"/>
      <w:pgSz w:w="11906" w:h="16838"/>
      <w:pgMar w:top="90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47" w:rsidRDefault="00CD5D47" w:rsidP="001A3F4B">
      <w:pPr>
        <w:spacing w:after="0" w:line="240" w:lineRule="auto"/>
      </w:pPr>
      <w:r>
        <w:separator/>
      </w:r>
    </w:p>
  </w:endnote>
  <w:endnote w:type="continuationSeparator" w:id="0">
    <w:p w:rsidR="00CD5D47" w:rsidRDefault="00CD5D47" w:rsidP="001A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05378"/>
      <w:docPartObj>
        <w:docPartGallery w:val="Page Numbers (Bottom of Page)"/>
        <w:docPartUnique/>
      </w:docPartObj>
    </w:sdtPr>
    <w:sdtContent>
      <w:sdt>
        <w:sdtPr>
          <w:id w:val="860082579"/>
          <w:docPartObj>
            <w:docPartGallery w:val="Page Numbers (Top of Page)"/>
            <w:docPartUnique/>
          </w:docPartObj>
        </w:sdtPr>
        <w:sdtContent>
          <w:p w:rsidR="004B73EA" w:rsidRDefault="004B73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093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93E">
              <w:rPr>
                <w:b/>
                <w:bCs/>
                <w:noProof/>
              </w:rPr>
              <w:t>5</w:t>
            </w:r>
            <w:r>
              <w:rPr>
                <w:b/>
                <w:bCs/>
                <w:sz w:val="24"/>
                <w:szCs w:val="24"/>
              </w:rPr>
              <w:fldChar w:fldCharType="end"/>
            </w:r>
          </w:p>
        </w:sdtContent>
      </w:sdt>
    </w:sdtContent>
  </w:sdt>
  <w:p w:rsidR="005F32DB" w:rsidRDefault="005F3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47" w:rsidRDefault="00CD5D47" w:rsidP="001A3F4B">
      <w:pPr>
        <w:spacing w:after="0" w:line="240" w:lineRule="auto"/>
      </w:pPr>
      <w:r>
        <w:separator/>
      </w:r>
    </w:p>
  </w:footnote>
  <w:footnote w:type="continuationSeparator" w:id="0">
    <w:p w:rsidR="00CD5D47" w:rsidRDefault="00CD5D47" w:rsidP="001A3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690"/>
    <w:multiLevelType w:val="hybridMultilevel"/>
    <w:tmpl w:val="7D54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D6938"/>
    <w:multiLevelType w:val="hybridMultilevel"/>
    <w:tmpl w:val="D3BA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8376F"/>
    <w:multiLevelType w:val="hybridMultilevel"/>
    <w:tmpl w:val="B4EAE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06D6C"/>
    <w:multiLevelType w:val="hybridMultilevel"/>
    <w:tmpl w:val="E53237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353FF"/>
    <w:multiLevelType w:val="hybridMultilevel"/>
    <w:tmpl w:val="33F0C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76666B"/>
    <w:multiLevelType w:val="hybridMultilevel"/>
    <w:tmpl w:val="C96E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B00E3"/>
    <w:multiLevelType w:val="hybridMultilevel"/>
    <w:tmpl w:val="CF208874"/>
    <w:lvl w:ilvl="0" w:tplc="72D4A1FA">
      <w:start w:val="1"/>
      <w:numFmt w:val="lowerLetter"/>
      <w:pStyle w:val="SectionBody"/>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B034E"/>
    <w:multiLevelType w:val="hybridMultilevel"/>
    <w:tmpl w:val="E97E3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E6345"/>
    <w:multiLevelType w:val="hybridMultilevel"/>
    <w:tmpl w:val="2DC89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A785B"/>
    <w:multiLevelType w:val="hybridMultilevel"/>
    <w:tmpl w:val="F6EE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B2C87"/>
    <w:multiLevelType w:val="hybridMultilevel"/>
    <w:tmpl w:val="C2F81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2D6C39"/>
    <w:multiLevelType w:val="hybridMultilevel"/>
    <w:tmpl w:val="21425B9C"/>
    <w:lvl w:ilvl="0" w:tplc="7EC836C0">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501D3A"/>
    <w:multiLevelType w:val="hybridMultilevel"/>
    <w:tmpl w:val="FBAA4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80E04"/>
    <w:multiLevelType w:val="hybridMultilevel"/>
    <w:tmpl w:val="9D72C0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AE43906"/>
    <w:multiLevelType w:val="hybridMultilevel"/>
    <w:tmpl w:val="97BEDDC2"/>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A9225B"/>
    <w:multiLevelType w:val="hybridMultilevel"/>
    <w:tmpl w:val="C50AC2D2"/>
    <w:lvl w:ilvl="0" w:tplc="EC562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3B0849"/>
    <w:multiLevelType w:val="hybridMultilevel"/>
    <w:tmpl w:val="042416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EE63AE"/>
    <w:multiLevelType w:val="hybridMultilevel"/>
    <w:tmpl w:val="C65A01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5920C6"/>
    <w:multiLevelType w:val="hybridMultilevel"/>
    <w:tmpl w:val="01046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DD6558F"/>
    <w:multiLevelType w:val="hybridMultilevel"/>
    <w:tmpl w:val="914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8"/>
  </w:num>
  <w:num w:numId="5">
    <w:abstractNumId w:val="6"/>
  </w:num>
  <w:num w:numId="6">
    <w:abstractNumId w:val="15"/>
  </w:num>
  <w:num w:numId="7">
    <w:abstractNumId w:val="2"/>
  </w:num>
  <w:num w:numId="8">
    <w:abstractNumId w:val="19"/>
  </w:num>
  <w:num w:numId="9">
    <w:abstractNumId w:val="1"/>
  </w:num>
  <w:num w:numId="10">
    <w:abstractNumId w:val="18"/>
  </w:num>
  <w:num w:numId="11">
    <w:abstractNumId w:val="10"/>
  </w:num>
  <w:num w:numId="12">
    <w:abstractNumId w:val="4"/>
  </w:num>
  <w:num w:numId="13">
    <w:abstractNumId w:val="13"/>
  </w:num>
  <w:num w:numId="14">
    <w:abstractNumId w:val="14"/>
  </w:num>
  <w:num w:numId="15">
    <w:abstractNumId w:val="9"/>
  </w:num>
  <w:num w:numId="16">
    <w:abstractNumId w:val="0"/>
  </w:num>
  <w:num w:numId="17">
    <w:abstractNumId w:val="5"/>
  </w:num>
  <w:num w:numId="18">
    <w:abstractNumId w:val="11"/>
  </w:num>
  <w:num w:numId="19">
    <w:abstractNumId w:val="3"/>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A"/>
    <w:rsid w:val="00002C96"/>
    <w:rsid w:val="00005660"/>
    <w:rsid w:val="000252FA"/>
    <w:rsid w:val="00032601"/>
    <w:rsid w:val="000615EC"/>
    <w:rsid w:val="000904FE"/>
    <w:rsid w:val="00094A2B"/>
    <w:rsid w:val="000A2078"/>
    <w:rsid w:val="000C4FF7"/>
    <w:rsid w:val="000F0F87"/>
    <w:rsid w:val="000F4EAF"/>
    <w:rsid w:val="00101671"/>
    <w:rsid w:val="00102332"/>
    <w:rsid w:val="00120969"/>
    <w:rsid w:val="001345EC"/>
    <w:rsid w:val="0016049C"/>
    <w:rsid w:val="00181CD5"/>
    <w:rsid w:val="001A3F4B"/>
    <w:rsid w:val="001A5CDA"/>
    <w:rsid w:val="001D0856"/>
    <w:rsid w:val="001D1C72"/>
    <w:rsid w:val="002113CD"/>
    <w:rsid w:val="0024093E"/>
    <w:rsid w:val="0027614A"/>
    <w:rsid w:val="002905BE"/>
    <w:rsid w:val="00297A2D"/>
    <w:rsid w:val="002C1AEF"/>
    <w:rsid w:val="0030692B"/>
    <w:rsid w:val="003272E3"/>
    <w:rsid w:val="00333FFC"/>
    <w:rsid w:val="00372055"/>
    <w:rsid w:val="00382350"/>
    <w:rsid w:val="003B1539"/>
    <w:rsid w:val="003B4CB3"/>
    <w:rsid w:val="003B6451"/>
    <w:rsid w:val="004111D3"/>
    <w:rsid w:val="00425C49"/>
    <w:rsid w:val="00462A6F"/>
    <w:rsid w:val="0046369B"/>
    <w:rsid w:val="004A5F51"/>
    <w:rsid w:val="004B73EA"/>
    <w:rsid w:val="004F6F71"/>
    <w:rsid w:val="00541161"/>
    <w:rsid w:val="00573E6A"/>
    <w:rsid w:val="005A4401"/>
    <w:rsid w:val="005D1F10"/>
    <w:rsid w:val="005D57F2"/>
    <w:rsid w:val="005F32DB"/>
    <w:rsid w:val="006010C6"/>
    <w:rsid w:val="00664050"/>
    <w:rsid w:val="00667069"/>
    <w:rsid w:val="00681BD0"/>
    <w:rsid w:val="006968D5"/>
    <w:rsid w:val="006A05F3"/>
    <w:rsid w:val="006C2459"/>
    <w:rsid w:val="006E594F"/>
    <w:rsid w:val="006F18F1"/>
    <w:rsid w:val="006F6EDA"/>
    <w:rsid w:val="00737C31"/>
    <w:rsid w:val="007530EF"/>
    <w:rsid w:val="007561D2"/>
    <w:rsid w:val="00756FA9"/>
    <w:rsid w:val="007A03DE"/>
    <w:rsid w:val="007A59BB"/>
    <w:rsid w:val="007B5D54"/>
    <w:rsid w:val="007D588D"/>
    <w:rsid w:val="007E544B"/>
    <w:rsid w:val="007E65DB"/>
    <w:rsid w:val="00824A67"/>
    <w:rsid w:val="008279A4"/>
    <w:rsid w:val="008853B5"/>
    <w:rsid w:val="008946A8"/>
    <w:rsid w:val="008D08C4"/>
    <w:rsid w:val="008D0DC0"/>
    <w:rsid w:val="008E2CFD"/>
    <w:rsid w:val="00955B7A"/>
    <w:rsid w:val="009A4FB0"/>
    <w:rsid w:val="009B2443"/>
    <w:rsid w:val="009B5857"/>
    <w:rsid w:val="009C3D80"/>
    <w:rsid w:val="009D7CFB"/>
    <w:rsid w:val="009E11FF"/>
    <w:rsid w:val="00A13311"/>
    <w:rsid w:val="00A20847"/>
    <w:rsid w:val="00A66B9E"/>
    <w:rsid w:val="00A822B9"/>
    <w:rsid w:val="00A84115"/>
    <w:rsid w:val="00AC3D9D"/>
    <w:rsid w:val="00AD04FE"/>
    <w:rsid w:val="00AD3829"/>
    <w:rsid w:val="00AF2B37"/>
    <w:rsid w:val="00B2595D"/>
    <w:rsid w:val="00B27396"/>
    <w:rsid w:val="00B922AB"/>
    <w:rsid w:val="00B93D29"/>
    <w:rsid w:val="00BA21C2"/>
    <w:rsid w:val="00BB59CF"/>
    <w:rsid w:val="00BC6800"/>
    <w:rsid w:val="00BC782F"/>
    <w:rsid w:val="00BD15E6"/>
    <w:rsid w:val="00C57CC8"/>
    <w:rsid w:val="00C60BCF"/>
    <w:rsid w:val="00C7659B"/>
    <w:rsid w:val="00C858B7"/>
    <w:rsid w:val="00C87CCD"/>
    <w:rsid w:val="00C907F7"/>
    <w:rsid w:val="00CB7648"/>
    <w:rsid w:val="00CD5D47"/>
    <w:rsid w:val="00D1449D"/>
    <w:rsid w:val="00D3129B"/>
    <w:rsid w:val="00D47285"/>
    <w:rsid w:val="00D56540"/>
    <w:rsid w:val="00D56D31"/>
    <w:rsid w:val="00D81899"/>
    <w:rsid w:val="00D901E0"/>
    <w:rsid w:val="00DB3D6F"/>
    <w:rsid w:val="00DB4DD8"/>
    <w:rsid w:val="00DD2B41"/>
    <w:rsid w:val="00E27A14"/>
    <w:rsid w:val="00E968AE"/>
    <w:rsid w:val="00EE6896"/>
    <w:rsid w:val="00EF164E"/>
    <w:rsid w:val="00EF6F85"/>
    <w:rsid w:val="00EF769B"/>
    <w:rsid w:val="00F44541"/>
    <w:rsid w:val="00F56B6E"/>
    <w:rsid w:val="00F63D16"/>
    <w:rsid w:val="00F74A78"/>
    <w:rsid w:val="00FA2C12"/>
    <w:rsid w:val="00FB06A9"/>
    <w:rsid w:val="00FF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DA"/>
    <w:rPr>
      <w:rFonts w:ascii="Tahoma" w:hAnsi="Tahoma" w:cs="Tahoma"/>
      <w:sz w:val="16"/>
      <w:szCs w:val="16"/>
    </w:rPr>
  </w:style>
  <w:style w:type="paragraph" w:styleId="ListParagraph">
    <w:name w:val="List Paragraph"/>
    <w:basedOn w:val="Normal"/>
    <w:uiPriority w:val="34"/>
    <w:qFormat/>
    <w:rsid w:val="001A5CDA"/>
    <w:pPr>
      <w:ind w:left="720"/>
      <w:contextualSpacing/>
    </w:pPr>
  </w:style>
  <w:style w:type="paragraph" w:styleId="Header">
    <w:name w:val="header"/>
    <w:basedOn w:val="Normal"/>
    <w:link w:val="HeaderChar"/>
    <w:uiPriority w:val="99"/>
    <w:unhideWhenUsed/>
    <w:rsid w:val="001A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F4B"/>
  </w:style>
  <w:style w:type="paragraph" w:styleId="Footer">
    <w:name w:val="footer"/>
    <w:basedOn w:val="Normal"/>
    <w:link w:val="FooterChar"/>
    <w:uiPriority w:val="99"/>
    <w:unhideWhenUsed/>
    <w:rsid w:val="001A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F4B"/>
  </w:style>
  <w:style w:type="character" w:styleId="Hyperlink">
    <w:name w:val="Hyperlink"/>
    <w:rsid w:val="007A03DE"/>
    <w:rPr>
      <w:color w:val="0000FF"/>
      <w:u w:val="single"/>
    </w:rPr>
  </w:style>
  <w:style w:type="paragraph" w:customStyle="1" w:styleId="Default">
    <w:name w:val="Default"/>
    <w:rsid w:val="003272E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2E3"/>
    <w:rPr>
      <w:sz w:val="20"/>
      <w:szCs w:val="20"/>
    </w:rPr>
  </w:style>
  <w:style w:type="character" w:styleId="FootnoteReference">
    <w:name w:val="footnote reference"/>
    <w:basedOn w:val="DefaultParagraphFont"/>
    <w:uiPriority w:val="99"/>
    <w:semiHidden/>
    <w:unhideWhenUsed/>
    <w:rsid w:val="003272E3"/>
    <w:rPr>
      <w:vertAlign w:val="superscript"/>
    </w:rPr>
  </w:style>
  <w:style w:type="paragraph" w:customStyle="1" w:styleId="SectionBody">
    <w:name w:val="Section Body"/>
    <w:basedOn w:val="NormalIndent"/>
    <w:autoRedefine/>
    <w:qFormat/>
    <w:rsid w:val="00002C96"/>
    <w:pPr>
      <w:numPr>
        <w:numId w:val="5"/>
      </w:numPr>
      <w:spacing w:after="200" w:line="240" w:lineRule="auto"/>
      <w:ind w:left="357" w:hanging="357"/>
      <w:jc w:val="both"/>
    </w:pPr>
    <w:rPr>
      <w:rFonts w:ascii="Arial" w:hAnsi="Arial" w:cs="Arial"/>
      <w:lang w:val="en-US"/>
    </w:rPr>
  </w:style>
  <w:style w:type="paragraph" w:styleId="NormalIndent">
    <w:name w:val="Normal Indent"/>
    <w:basedOn w:val="Normal"/>
    <w:uiPriority w:val="99"/>
    <w:semiHidden/>
    <w:unhideWhenUsed/>
    <w:rsid w:val="003272E3"/>
    <w:pPr>
      <w:spacing w:after="160" w:line="259" w:lineRule="auto"/>
      <w:ind w:left="720"/>
    </w:pPr>
  </w:style>
  <w:style w:type="table" w:customStyle="1" w:styleId="PlainTable21">
    <w:name w:val="Plain Table 21"/>
    <w:basedOn w:val="TableNormal"/>
    <w:uiPriority w:val="42"/>
    <w:rsid w:val="003272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DA"/>
    <w:rPr>
      <w:rFonts w:ascii="Tahoma" w:hAnsi="Tahoma" w:cs="Tahoma"/>
      <w:sz w:val="16"/>
      <w:szCs w:val="16"/>
    </w:rPr>
  </w:style>
  <w:style w:type="paragraph" w:styleId="ListParagraph">
    <w:name w:val="List Paragraph"/>
    <w:basedOn w:val="Normal"/>
    <w:uiPriority w:val="34"/>
    <w:qFormat/>
    <w:rsid w:val="001A5CDA"/>
    <w:pPr>
      <w:ind w:left="720"/>
      <w:contextualSpacing/>
    </w:pPr>
  </w:style>
  <w:style w:type="paragraph" w:styleId="Header">
    <w:name w:val="header"/>
    <w:basedOn w:val="Normal"/>
    <w:link w:val="HeaderChar"/>
    <w:uiPriority w:val="99"/>
    <w:unhideWhenUsed/>
    <w:rsid w:val="001A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F4B"/>
  </w:style>
  <w:style w:type="paragraph" w:styleId="Footer">
    <w:name w:val="footer"/>
    <w:basedOn w:val="Normal"/>
    <w:link w:val="FooterChar"/>
    <w:uiPriority w:val="99"/>
    <w:unhideWhenUsed/>
    <w:rsid w:val="001A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F4B"/>
  </w:style>
  <w:style w:type="character" w:styleId="Hyperlink">
    <w:name w:val="Hyperlink"/>
    <w:rsid w:val="007A03DE"/>
    <w:rPr>
      <w:color w:val="0000FF"/>
      <w:u w:val="single"/>
    </w:rPr>
  </w:style>
  <w:style w:type="paragraph" w:customStyle="1" w:styleId="Default">
    <w:name w:val="Default"/>
    <w:rsid w:val="003272E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7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2E3"/>
    <w:rPr>
      <w:sz w:val="20"/>
      <w:szCs w:val="20"/>
    </w:rPr>
  </w:style>
  <w:style w:type="character" w:styleId="FootnoteReference">
    <w:name w:val="footnote reference"/>
    <w:basedOn w:val="DefaultParagraphFont"/>
    <w:uiPriority w:val="99"/>
    <w:semiHidden/>
    <w:unhideWhenUsed/>
    <w:rsid w:val="003272E3"/>
    <w:rPr>
      <w:vertAlign w:val="superscript"/>
    </w:rPr>
  </w:style>
  <w:style w:type="paragraph" w:customStyle="1" w:styleId="SectionBody">
    <w:name w:val="Section Body"/>
    <w:basedOn w:val="NormalIndent"/>
    <w:autoRedefine/>
    <w:qFormat/>
    <w:rsid w:val="00002C96"/>
    <w:pPr>
      <w:numPr>
        <w:numId w:val="5"/>
      </w:numPr>
      <w:spacing w:after="200" w:line="240" w:lineRule="auto"/>
      <w:ind w:left="357" w:hanging="357"/>
      <w:jc w:val="both"/>
    </w:pPr>
    <w:rPr>
      <w:rFonts w:ascii="Arial" w:hAnsi="Arial" w:cs="Arial"/>
      <w:lang w:val="en-US"/>
    </w:rPr>
  </w:style>
  <w:style w:type="paragraph" w:styleId="NormalIndent">
    <w:name w:val="Normal Indent"/>
    <w:basedOn w:val="Normal"/>
    <w:uiPriority w:val="99"/>
    <w:semiHidden/>
    <w:unhideWhenUsed/>
    <w:rsid w:val="003272E3"/>
    <w:pPr>
      <w:spacing w:after="160" w:line="259" w:lineRule="auto"/>
      <w:ind w:left="720"/>
    </w:pPr>
  </w:style>
  <w:style w:type="table" w:customStyle="1" w:styleId="PlainTable21">
    <w:name w:val="Plain Table 21"/>
    <w:basedOn w:val="TableNormal"/>
    <w:uiPriority w:val="42"/>
    <w:rsid w:val="003272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9891-8A84-418E-8204-EB8C74D0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 Project Manager, Regulatory Services</dc:creator>
  <cp:lastModifiedBy>Deguara, Claire</cp:lastModifiedBy>
  <cp:revision>5</cp:revision>
  <cp:lastPrinted>2017-03-13T11:24:00Z</cp:lastPrinted>
  <dcterms:created xsi:type="dcterms:W3CDTF">2017-03-13T11:45:00Z</dcterms:created>
  <dcterms:modified xsi:type="dcterms:W3CDTF">2017-03-13T15:25:00Z</dcterms:modified>
</cp:coreProperties>
</file>